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7,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333-220085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KRYSTAL BIOTECH,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780" w:type="dxa"/>
            <w:vAlign w:val="bottom"/>
          </w:tcPr>
          <w:p>
            <w:pPr>
              <w:jc w:val="center"/>
              <w:ind w:right="1054"/>
              <w:spacing w:after="0"/>
              <w:rPr>
                <w:sz w:val="20"/>
                <w:szCs w:val="20"/>
                <w:color w:val="auto"/>
              </w:rPr>
            </w:pPr>
            <w:r>
              <w:rPr>
                <w:rFonts w:ascii="Arial" w:cs="Arial" w:eastAsia="Arial" w:hAnsi="Arial"/>
                <w:sz w:val="14"/>
                <w:szCs w:val="14"/>
                <w:b w:val="1"/>
                <w:bCs w:val="1"/>
                <w:color w:val="auto"/>
                <w:w w:val="94"/>
              </w:rPr>
              <w:t>Delaware</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420" w:type="dxa"/>
            <w:vAlign w:val="bottom"/>
          </w:tcPr>
          <w:p>
            <w:pPr>
              <w:jc w:val="center"/>
              <w:ind w:left="1094"/>
              <w:spacing w:after="0"/>
              <w:rPr>
                <w:sz w:val="20"/>
                <w:szCs w:val="20"/>
                <w:color w:val="auto"/>
              </w:rPr>
            </w:pPr>
            <w:r>
              <w:rPr>
                <w:rFonts w:ascii="Arial" w:cs="Arial" w:eastAsia="Arial" w:hAnsi="Arial"/>
                <w:sz w:val="14"/>
                <w:szCs w:val="14"/>
                <w:b w:val="1"/>
                <w:bCs w:val="1"/>
                <w:color w:val="auto"/>
                <w:w w:val="93"/>
              </w:rPr>
              <w:t>81-0930882</w:t>
            </w:r>
          </w:p>
        </w:tc>
      </w:tr>
      <w:tr>
        <w:trPr>
          <w:trHeight w:val="135"/>
        </w:trPr>
        <w:tc>
          <w:tcPr>
            <w:tcW w:w="2780" w:type="dxa"/>
            <w:vAlign w:val="bottom"/>
          </w:tcPr>
          <w:p>
            <w:pPr>
              <w:jc w:val="center"/>
              <w:ind w:right="10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42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4"/>
              <w:spacing w:after="0"/>
              <w:rPr>
                <w:sz w:val="20"/>
                <w:szCs w:val="20"/>
                <w:color w:val="auto"/>
              </w:rPr>
            </w:pPr>
            <w:r>
              <w:rPr>
                <w:rFonts w:ascii="Arial" w:cs="Arial" w:eastAsia="Arial" w:hAnsi="Arial"/>
                <w:sz w:val="13"/>
                <w:szCs w:val="13"/>
                <w:b w:val="1"/>
                <w:bCs w:val="1"/>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42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2100 Wharton Street, Suite 701</w:t>
      </w:r>
    </w:p>
    <w:p>
      <w:pPr>
        <w:jc w:val="center"/>
        <w:spacing w:after="0" w:line="226" w:lineRule="auto"/>
        <w:rPr>
          <w:sz w:val="20"/>
          <w:szCs w:val="20"/>
          <w:color w:val="auto"/>
        </w:rPr>
      </w:pPr>
      <w:r>
        <w:rPr>
          <w:rFonts w:ascii="Arial" w:cs="Arial" w:eastAsia="Arial" w:hAnsi="Arial"/>
          <w:sz w:val="14"/>
          <w:szCs w:val="14"/>
          <w:b w:val="1"/>
          <w:bCs w:val="1"/>
          <w:color w:val="auto"/>
        </w:rPr>
        <w:t>Pittsburgh, Pennsylvania 15203</w:t>
      </w:r>
    </w:p>
    <w:p>
      <w:pPr>
        <w:jc w:val="center"/>
        <w:spacing w:after="0" w:line="225" w:lineRule="auto"/>
        <w:rPr>
          <w:sz w:val="20"/>
          <w:szCs w:val="20"/>
          <w:color w:val="auto"/>
        </w:rPr>
      </w:pPr>
      <w:r>
        <w:rPr>
          <w:rFonts w:ascii="Arial" w:cs="Arial" w:eastAsia="Arial" w:hAnsi="Arial"/>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Krish S. Krishnan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2100 Wharton Street, Suite 701</w:t>
      </w:r>
    </w:p>
    <w:p>
      <w:pPr>
        <w:jc w:val="center"/>
        <w:spacing w:after="0" w:line="221" w:lineRule="auto"/>
        <w:rPr>
          <w:sz w:val="20"/>
          <w:szCs w:val="20"/>
          <w:color w:val="auto"/>
        </w:rPr>
      </w:pPr>
      <w:r>
        <w:rPr>
          <w:rFonts w:ascii="Arial" w:cs="Arial" w:eastAsia="Arial" w:hAnsi="Arial"/>
          <w:sz w:val="14"/>
          <w:szCs w:val="14"/>
          <w:b w:val="1"/>
          <w:bCs w:val="1"/>
          <w:color w:val="auto"/>
        </w:rPr>
        <w:t>Pittsburgh, Pennsylvania 15203</w:t>
      </w:r>
    </w:p>
    <w:p>
      <w:pPr>
        <w:jc w:val="center"/>
        <w:spacing w:after="0" w:line="225" w:lineRule="auto"/>
        <w:rPr>
          <w:sz w:val="20"/>
          <w:szCs w:val="20"/>
          <w:color w:val="auto"/>
        </w:rPr>
      </w:pPr>
      <w:r>
        <w:rPr>
          <w:rFonts w:ascii="Arial" w:cs="Arial" w:eastAsia="Arial" w:hAnsi="Arial"/>
          <w:sz w:val="14"/>
          <w:szCs w:val="14"/>
          <w:b w:val="1"/>
          <w:bCs w:val="1"/>
          <w:color w:val="auto"/>
        </w:rPr>
        <w:t>(412) 586-5830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880" w:type="dxa"/>
            <w:vAlign w:val="bottom"/>
          </w:tcPr>
          <w:p>
            <w:pPr>
              <w:ind w:left="78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60" w:type="dxa"/>
            <w:vAlign w:val="bottom"/>
          </w:tcPr>
          <w:p>
            <w:pPr>
              <w:jc w:val="center"/>
              <w:ind w:right="708"/>
              <w:spacing w:after="0"/>
              <w:rPr>
                <w:sz w:val="20"/>
                <w:szCs w:val="20"/>
                <w:color w:val="auto"/>
              </w:rPr>
            </w:pPr>
            <w:r>
              <w:rPr>
                <w:rFonts w:ascii="Arial" w:cs="Arial" w:eastAsia="Arial" w:hAnsi="Arial"/>
                <w:sz w:val="14"/>
                <w:szCs w:val="14"/>
                <w:b w:val="1"/>
                <w:bCs w:val="1"/>
                <w:color w:val="auto"/>
                <w:w w:val="97"/>
              </w:rPr>
              <w:t>John W. Campbell III</w:t>
            </w:r>
          </w:p>
        </w:tc>
        <w:tc>
          <w:tcPr>
            <w:tcW w:w="4880" w:type="dxa"/>
            <w:vAlign w:val="bottom"/>
          </w:tcPr>
          <w:p>
            <w:pPr>
              <w:jc w:val="center"/>
              <w:ind w:left="3108"/>
              <w:spacing w:after="0"/>
              <w:rPr>
                <w:sz w:val="20"/>
                <w:szCs w:val="20"/>
                <w:color w:val="auto"/>
              </w:rPr>
            </w:pPr>
            <w:r>
              <w:rPr>
                <w:rFonts w:ascii="Arial" w:cs="Arial" w:eastAsia="Arial" w:hAnsi="Arial"/>
                <w:sz w:val="14"/>
                <w:szCs w:val="14"/>
                <w:b w:val="1"/>
                <w:bCs w:val="1"/>
                <w:color w:val="auto"/>
                <w:w w:val="97"/>
              </w:rPr>
              <w:t>Michael D. Maline</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Emiko Kurotsu</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9"/>
        </w:trPr>
        <w:tc>
          <w:tcPr>
            <w:tcW w:w="27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5"/>
              </w:rPr>
              <w:t>Katherine A. Shaia</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7"/>
              </w:rPr>
              <w:t>Morrison &amp; Foerster LLP</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2"/>
              </w:rPr>
              <w:t>620 Eighth Avenue</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425 Market Street</w:t>
            </w:r>
          </w:p>
        </w:tc>
        <w:tc>
          <w:tcPr>
            <w:tcW w:w="488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4"/>
              </w:rPr>
              <w:t>New York, New York 10018</w:t>
            </w:r>
          </w:p>
        </w:tc>
      </w:tr>
      <w:tr>
        <w:trPr>
          <w:trHeight w:val="149"/>
        </w:trPr>
        <w:tc>
          <w:tcPr>
            <w:tcW w:w="27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2"/>
              </w:rPr>
              <w:t>San Francisco, California 94105</w:t>
            </w:r>
          </w:p>
        </w:tc>
        <w:tc>
          <w:tcPr>
            <w:tcW w:w="4880" w:type="dxa"/>
            <w:vAlign w:val="bottom"/>
          </w:tcPr>
          <w:p>
            <w:pPr>
              <w:jc w:val="center"/>
              <w:ind w:left="3108"/>
              <w:spacing w:after="0" w:line="149" w:lineRule="exact"/>
              <w:rPr>
                <w:sz w:val="20"/>
                <w:szCs w:val="20"/>
                <w:color w:val="auto"/>
              </w:rPr>
            </w:pPr>
            <w:r>
              <w:rPr>
                <w:rFonts w:ascii="Arial" w:cs="Arial" w:eastAsia="Arial" w:hAnsi="Arial"/>
                <w:sz w:val="14"/>
                <w:szCs w:val="14"/>
                <w:b w:val="1"/>
                <w:bCs w:val="1"/>
                <w:color w:val="auto"/>
                <w:w w:val="93"/>
              </w:rPr>
              <w:t>(212) 813-8800</w:t>
            </w:r>
          </w:p>
        </w:tc>
      </w:tr>
      <w:tr>
        <w:trPr>
          <w:trHeight w:val="186"/>
        </w:trPr>
        <w:tc>
          <w:tcPr>
            <w:tcW w:w="27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(415) 268-7000</w:t>
            </w:r>
          </w:p>
        </w:tc>
        <w:tc>
          <w:tcPr>
            <w:tcW w:w="48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40" w:type="dxa"/>
            <w:vAlign w:val="bottom"/>
          </w:tcPr>
          <w:p>
            <w:pPr>
              <w:ind w:left="2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 w:lineRule="exact"/>
        <w:rPr>
          <w:sz w:val="24"/>
          <w:szCs w:val="24"/>
          <w:color w:val="auto"/>
        </w:rPr>
      </w:pPr>
    </w:p>
    <w:p>
      <w:pPr>
        <w:ind w:right="520"/>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2"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778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7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780" w:type="dxa"/>
            <w:vAlign w:val="bottom"/>
          </w:tcPr>
          <w:p>
            <w:pPr>
              <w:jc w:val="center"/>
              <w:ind w:left="14"/>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7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(1)</w:t>
            </w:r>
          </w:p>
        </w:tc>
        <w:tc>
          <w:tcPr>
            <w:tcW w:w="178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9"/>
              </w:rPr>
              <w:t>Registration Fee</w:t>
            </w:r>
            <w:r>
              <w:rPr>
                <w:rFonts w:ascii="Arial" w:cs="Arial" w:eastAsia="Arial" w:hAnsi="Arial"/>
                <w:sz w:val="10"/>
                <w:szCs w:val="10"/>
                <w:b w:val="1"/>
                <w:bCs w:val="1"/>
                <w:color w:val="auto"/>
                <w:w w:val="89"/>
              </w:rPr>
              <w:t>(2)</w:t>
            </w:r>
          </w:p>
        </w:tc>
      </w:tr>
      <w:tr>
        <w:trPr>
          <w:trHeight w:val="145"/>
        </w:trPr>
        <w:tc>
          <w:tcPr>
            <w:tcW w:w="20" w:type="dxa"/>
            <w:vAlign w:val="bottom"/>
            <w:tcBorders>
              <w:bottom w:val="single" w:sz="8" w:color="auto"/>
            </w:tcBorders>
          </w:tcPr>
          <w:p>
            <w:pPr>
              <w:spacing w:after="0"/>
              <w:rPr>
                <w:sz w:val="12"/>
                <w:szCs w:val="12"/>
                <w:color w:val="auto"/>
              </w:rPr>
            </w:pPr>
          </w:p>
        </w:tc>
        <w:tc>
          <w:tcPr>
            <w:tcW w:w="77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 par value $0.00001 per share</w:t>
            </w:r>
          </w:p>
        </w:tc>
        <w:tc>
          <w:tcPr>
            <w:tcW w:w="1840" w:type="dxa"/>
            <w:vAlign w:val="bottom"/>
            <w:tcBorders>
              <w:bottom w:val="single" w:sz="8" w:color="auto"/>
              <w:right w:val="single" w:sz="8" w:color="auto"/>
            </w:tcBorders>
          </w:tcPr>
          <w:p>
            <w:pPr>
              <w:jc w:val="center"/>
              <w:ind w:left="17"/>
              <w:spacing w:after="0" w:line="145" w:lineRule="exact"/>
              <w:rPr>
                <w:sz w:val="20"/>
                <w:szCs w:val="20"/>
                <w:color w:val="auto"/>
              </w:rPr>
            </w:pPr>
            <w:r>
              <w:rPr>
                <w:rFonts w:ascii="Arial" w:cs="Arial" w:eastAsia="Arial" w:hAnsi="Arial"/>
                <w:sz w:val="14"/>
                <w:szCs w:val="14"/>
                <w:color w:val="auto"/>
                <w:w w:val="92"/>
              </w:rPr>
              <w:t>$37,950,000</w:t>
            </w:r>
          </w:p>
        </w:tc>
        <w:tc>
          <w:tcPr>
            <w:tcW w:w="1780" w:type="dxa"/>
            <w:vAlign w:val="bottom"/>
            <w:tcBorders>
              <w:bottom w:val="single" w:sz="8" w:color="auto"/>
            </w:tcBorders>
          </w:tcPr>
          <w:p>
            <w:pPr>
              <w:jc w:val="center"/>
              <w:ind w:left="14"/>
              <w:spacing w:after="0" w:line="145" w:lineRule="exact"/>
              <w:rPr>
                <w:sz w:val="20"/>
                <w:szCs w:val="20"/>
                <w:color w:val="auto"/>
              </w:rPr>
            </w:pPr>
            <w:r>
              <w:rPr>
                <w:rFonts w:ascii="Arial" w:cs="Arial" w:eastAsia="Arial" w:hAnsi="Arial"/>
                <w:sz w:val="14"/>
                <w:szCs w:val="14"/>
                <w:color w:val="auto"/>
                <w:w w:val="88"/>
              </w:rPr>
              <w:t>$4,399</w:t>
            </w:r>
          </w:p>
        </w:tc>
      </w:tr>
      <w:tr>
        <w:trPr>
          <w:trHeight w:val="20"/>
        </w:trPr>
        <w:tc>
          <w:tcPr>
            <w:tcW w:w="20" w:type="dxa"/>
            <w:vAlign w:val="bottom"/>
          </w:tcPr>
          <w:p>
            <w:pPr>
              <w:spacing w:after="0" w:line="20" w:lineRule="exact"/>
              <w:rPr>
                <w:sz w:val="1"/>
                <w:szCs w:val="1"/>
                <w:color w:val="auto"/>
              </w:rPr>
            </w:pPr>
          </w:p>
        </w:tc>
        <w:tc>
          <w:tcPr>
            <w:tcW w:w="7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220" w:right="540" w:hanging="212"/>
        <w:spacing w:after="0" w:line="264"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registration fee pursuant to Rule 457(o) under the Securities Act of 1933, as amended, based on an estimate of the proposed maximum aggregate offering price. Includes the offering price of additional shares of common stock that the underwriters have the option to purchase to cover over-allotments, if any.</w:t>
      </w: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$3,999 was previously paid in connection with the initial filing of this Registration Statement on August 21, 2017. The remaining $400 is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both"/>
        <w:ind w:right="2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September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165735</wp:posOffset>
            </wp:positionV>
            <wp:extent cx="325882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242570</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offering 3,000,000 shares of our common stock. This is our initial public offering and no public market currently exists for our shares. We anticipate that the initial public offering price of our common stock will be between $9.00 and $11.00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203200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238125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We are an “emerging growth company” under the federal securities laws and are therefore subject to reduced public company reporting requirements.</w:t>
      </w: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2"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i w:val="1"/>
                <w:iCs w:val="1"/>
                <w:color w:val="auto"/>
              </w:rPr>
              <w:t>Per Share</w:t>
            </w:r>
          </w:p>
        </w:tc>
        <w:tc>
          <w:tcPr>
            <w:tcW w:w="520" w:type="dxa"/>
            <w:vAlign w:val="bottom"/>
            <w:gridSpan w:val="2"/>
          </w:tcPr>
          <w:p>
            <w:pPr>
              <w:ind w:left="80"/>
              <w:spacing w:after="0"/>
              <w:rPr>
                <w:sz w:val="20"/>
                <w:szCs w:val="20"/>
                <w:color w:val="auto"/>
              </w:rPr>
            </w:pPr>
            <w:r>
              <w:rPr>
                <w:rFonts w:ascii="Arial" w:cs="Arial" w:eastAsia="Arial" w:hAnsi="Arial"/>
                <w:sz w:val="16"/>
                <w:szCs w:val="16"/>
                <w:i w:val="1"/>
                <w:iCs w:val="1"/>
                <w:color w:val="auto"/>
              </w:rPr>
              <w:t>Total</w:t>
            </w:r>
          </w:p>
        </w:tc>
      </w:tr>
      <w:tr>
        <w:trPr>
          <w:trHeight w:val="216"/>
        </w:trPr>
        <w:tc>
          <w:tcPr>
            <w:tcW w:w="8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Initial 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15"/>
                <w:szCs w:val="15"/>
                <w:b w:val="1"/>
                <w:bCs w:val="1"/>
                <w:color w:val="auto"/>
              </w:rPr>
              <w:t>(1)</w:t>
            </w:r>
          </w:p>
        </w:tc>
        <w:tc>
          <w:tcPr>
            <w:tcW w:w="228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Proceeds, before expenses, to Krystal Biotech, Inc.</w:t>
            </w:r>
          </w:p>
        </w:tc>
        <w:tc>
          <w:tcPr>
            <w:tcW w:w="22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6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120" w:type="dxa"/>
            <w:vAlign w:val="bottom"/>
            <w:gridSpan w:val="2"/>
          </w:tcPr>
          <w:p>
            <w:pPr>
              <w:spacing w:after="0"/>
              <w:rPr>
                <w:sz w:val="20"/>
                <w:szCs w:val="20"/>
                <w:color w:val="auto"/>
              </w:rPr>
            </w:pPr>
            <w:r>
              <w:rPr>
                <w:rFonts w:ascii="Arial" w:cs="Arial" w:eastAsia="Arial" w:hAnsi="Arial"/>
                <w:sz w:val="18"/>
                <w:szCs w:val="18"/>
                <w:color w:val="auto"/>
              </w:rPr>
              <w:t>(1)  See “Underwriting” for additional information regarding underwriting compensation.</w:t>
            </w:r>
          </w:p>
        </w:tc>
        <w:tc>
          <w:tcPr>
            <w:tcW w:w="1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the right to purchase up to an additional 450,000 shares of common stock to cover over-allotments, if any.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w w:val="95"/>
              </w:rPr>
              <w:t>The underwriters expect to deliver the shares of common stock to purchasers on</w:t>
            </w:r>
          </w:p>
        </w:tc>
        <w:tc>
          <w:tcPr>
            <w:tcW w:w="88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Ladenburg Thalmann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gridSpan w:val="11"/>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SUMMARY</w:t>
              </w:r>
            </w:hyperlink>
          </w:p>
        </w:tc>
        <w:tc>
          <w:tcPr>
            <w:tcW w:w="8940" w:type="dxa"/>
            <w:vAlign w:val="bottom"/>
            <w:gridSpan w:val="13"/>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100" w:type="dxa"/>
            <w:vAlign w:val="bottom"/>
            <w:tcBorders>
              <w:bottom w:val="single" w:sz="8" w:color="0000EE"/>
            </w:tcBorders>
            <w:gridSpan w:val="11"/>
            <w:vMerge w:val="continue"/>
          </w:tcPr>
          <w:p>
            <w:pPr>
              <w:spacing w:after="0"/>
              <w:rPr>
                <w:sz w:val="13"/>
                <w:szCs w:val="13"/>
                <w:color w:val="auto"/>
              </w:rPr>
            </w:pPr>
          </w:p>
        </w:tc>
        <w:tc>
          <w:tcPr>
            <w:tcW w:w="894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RISK FACTORS</w:t>
              </w:r>
            </w:hyperlink>
          </w:p>
        </w:tc>
        <w:tc>
          <w:tcPr>
            <w:tcW w:w="9780" w:type="dxa"/>
            <w:vAlign w:val="bottom"/>
            <w:gridSpan w:val="20"/>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SPECIAL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INDUSTRY AND MARKET DATA</w:t>
              </w:r>
            </w:hyperlink>
          </w:p>
        </w:tc>
        <w:tc>
          <w:tcPr>
            <w:tcW w:w="2680" w:type="dxa"/>
            <w:vAlign w:val="bottom"/>
            <w:tcBorders>
              <w:top w:val="single" w:sz="8" w:color="0000EE"/>
            </w:tcBorders>
            <w:gridSpan w:val="5"/>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USE OF PROCEEDS</w:t>
              </w:r>
            </w:hyperlink>
          </w:p>
        </w:tc>
        <w:tc>
          <w:tcPr>
            <w:tcW w:w="94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DIVIDEND POLICY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DILUTION</w:t>
              </w:r>
            </w:hyperlink>
          </w:p>
        </w:tc>
        <w:tc>
          <w:tcPr>
            <w:tcW w:w="101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SELECTED FINANCIAL DATA</w:t>
              </w:r>
            </w:hyperlink>
          </w:p>
        </w:tc>
        <w:tc>
          <w:tcPr>
            <w:tcW w:w="860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BUSINESS</w:t>
              </w:r>
            </w:hyperlink>
          </w:p>
        </w:tc>
        <w:tc>
          <w:tcPr>
            <w:tcW w:w="8060" w:type="dxa"/>
            <w:vAlign w:val="bottom"/>
            <w:tcBorders>
              <w:top w:val="single" w:sz="8" w:color="0000EE"/>
            </w:tcBorders>
            <w:gridSpan w:val="20"/>
          </w:tcPr>
          <w:p>
            <w:pPr>
              <w:spacing w:after="0"/>
              <w:rPr>
                <w:sz w:val="17"/>
                <w:szCs w:val="17"/>
                <w:color w:val="auto"/>
              </w:rPr>
            </w:pPr>
          </w:p>
        </w:tc>
        <w:tc>
          <w:tcPr>
            <w:tcW w:w="21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EXECUTIVE COMPENSATION</w:t>
              </w:r>
            </w:hyperlink>
          </w:p>
        </w:tc>
        <w:tc>
          <w:tcPr>
            <w:tcW w:w="85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CERTAIN RELATIONSHIPS AND RELATED PARTY AND OTHER TRANSACTIONS</w:t>
              </w:r>
            </w:hyperlink>
          </w:p>
        </w:tc>
        <w:tc>
          <w:tcPr>
            <w:tcW w:w="44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24">
              <w:r>
                <w:rPr>
                  <w:rFonts w:ascii="Arial" w:cs="Arial" w:eastAsia="Arial" w:hAnsi="Arial"/>
                  <w:sz w:val="18"/>
                  <w:szCs w:val="18"/>
                  <w:color w:val="0000EE"/>
                  <w:w w:val="95"/>
                </w:rPr>
                <w:t>DESCRIPTION OF CAPITAL STOCK</w:t>
              </w:r>
            </w:hyperlink>
          </w:p>
        </w:tc>
        <w:tc>
          <w:tcPr>
            <w:tcW w:w="81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gridSpan w:val="10"/>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MATERIAL U.S. FEDERAL INCOME TAX CONSEQUENCES TO NON-U.S. HOLDERS OF OUR COMMON STOCK</w:t>
              </w:r>
            </w:hyperlink>
          </w:p>
        </w:tc>
        <w:tc>
          <w:tcPr>
            <w:tcW w:w="2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UNDERWRITING</w:t>
              </w:r>
            </w:hyperlink>
          </w:p>
        </w:tc>
        <w:tc>
          <w:tcPr>
            <w:tcW w:w="96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5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w:t>
              </w:r>
            </w:hyperlink>
          </w:p>
        </w:tc>
        <w:tc>
          <w:tcPr>
            <w:tcW w:w="7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You should rely only on the information contained in this prospectus or contained in any free writing prospectus prepared by or on behalf of us. Neither we nor the underwriters have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 regardless of its delivery. Our business, financial condition, results of operations and prospects may have changed since that date.</w:t>
      </w:r>
    </w:p>
    <w:p>
      <w:pPr>
        <w:spacing w:after="0" w:line="17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Through and including , 2017 (25 days after the date of this prospectus), all dealers that effect transactions in these securities, whether or not participating in this offering, may be required to deliver a prospectus. This delivery requirement is in addition to a dealer’s obligation to deliver a prospectus when acting as an underwriter and with respect to their unsold allotments or subscriptions.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5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 this prospectus, unless we indicate otherwise or the context requires, references to the “Company,” “Krystal,” “we,” “our,” “ours,” and “us” refer to Krystal Biotech, Inc. The following summary is qualified in its entirety by the more detailed information and financial statements and notes thereto included elsewhere in this prospectus.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Our lead product candidate, KB103, is currently in preclinical development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KB103 is a replication-defective, non-integrating viral vector that has been engineered employing our STAR-D platform to deliver functional human COL7A1 genes directly to the patients’ dividing and non-dividing skin cells. Non-integrating viral vectors do not integrate into the host DNA, eliminating the risk of disrupting the expression of essential host cell genes and the cancer-causing risks such disruptions could create. Preclinical studies evaluating intradermal and topical delivery of KB103 have been completed, and have demonstrated successful introduction of a functional COL7A1 gene to the host cells and subsequent expression of COL7. We intend to file an Investigational New Drug, or IND, application for KB103 with the U.S. Food and Drug Administration, or FDA, in the first quarter of 2018.</w:t>
      </w:r>
    </w:p>
    <w:p>
      <w:pPr>
        <w:spacing w:after="0" w:line="5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commenced preclinical studies on our second pipeline compound, KB104, to treat Netherton Syndrome, a severe form of ichthyosis, which is a family of genetic skin disorders associated with thickened scaly skin and characterized by chronic skin inflammation, itchiness, dehydration and stunted growth. We intend to file an IND for KB104 in the third quarter of 2018 and begin clinical studies in the first quarter of 2019. We have also commenced research activities on ichthyosis vulgaris, which is an inherited skin condition characterized by dry, scaly skin and the most common form of ichthyosis, and intend to start research activities on treatments for psoriasis, atopic eczema and chronic wounds in the fourth quarter of 2017. Following successful completion of a Phase 1 clinical trial of KB103, we intend to design, build and validate a commercial-scale current good manufacturing practices, or cGMP, facility for the upstream and downstream manufacturing processes of products based on our STAR-D platform.</w:t>
      </w:r>
    </w:p>
    <w:p>
      <w:pPr>
        <w:spacing w:after="0" w:line="5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management team includes individuals with expertise in gene therapy, product development, manufacturing and commercialization in the biotechnology industry. Our scientific team collectively has over 20 years of experience in herpes simplex virus, or HSV, engineering and purification, providing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7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40"/>
        <w:spacing w:after="0" w:line="276" w:lineRule="auto"/>
        <w:rPr>
          <w:sz w:val="20"/>
          <w:szCs w:val="20"/>
          <w:color w:val="auto"/>
        </w:rPr>
      </w:pPr>
      <w:r>
        <w:rPr>
          <w:rFonts w:ascii="Arial" w:cs="Arial" w:eastAsia="Arial" w:hAnsi="Arial"/>
          <w:sz w:val="17"/>
          <w:szCs w:val="17"/>
          <w:color w:val="auto"/>
        </w:rPr>
        <w:t>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include Dr. Peter Marinkovich of the Department of Dermatology of Stanford University, Dr. Andrew South of the Department of Dermatology of Thomas Jefferson University and Dr. John McGrath of King’s College London. We consult with our KOLs on an as-needed and project basis and compensate them on an hourly basis and, with respect to Dr. South, on a project by project basis as well.</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92" w:lineRule="exact"/>
        <w:rPr>
          <w:sz w:val="20"/>
          <w:szCs w:val="20"/>
          <w:color w:val="auto"/>
        </w:rPr>
      </w:pPr>
    </w:p>
    <w:p>
      <w:pPr>
        <w:ind w:left="1420" w:right="5160" w:hanging="791"/>
        <w:spacing w:after="0" w:line="394" w:lineRule="auto"/>
        <w:tabs>
          <w:tab w:leader="none" w:pos="839" w:val="left"/>
        </w:tabs>
        <w:numPr>
          <w:ilvl w:val="0"/>
          <w:numId w:val="2"/>
        </w:numPr>
        <w:rPr>
          <w:rFonts w:ascii="Arial" w:cs="Arial" w:eastAsia="Arial" w:hAnsi="Arial"/>
          <w:sz w:val="17"/>
          <w:szCs w:val="17"/>
          <w:color w:val="auto"/>
        </w:rPr>
      </w:pPr>
      <w:r>
        <w:rPr>
          <w:rFonts w:ascii="Arial" w:cs="Arial" w:eastAsia="Arial" w:hAnsi="Arial"/>
          <w:sz w:val="17"/>
          <w:szCs w:val="17"/>
          <w:color w:val="auto"/>
        </w:rPr>
        <w:t>A first mover advantage in dermatological gene therapy with regards to: An off-the-shelf gene therapy product candidate, and</w:t>
      </w:r>
    </w:p>
    <w:p>
      <w:pPr>
        <w:ind w:left="1180"/>
        <w:spacing w:after="0"/>
        <w:rPr>
          <w:rFonts w:ascii="Arial" w:cs="Arial" w:eastAsia="Arial" w:hAnsi="Arial"/>
          <w:sz w:val="17"/>
          <w:szCs w:val="17"/>
          <w:color w:val="auto"/>
        </w:rPr>
      </w:pPr>
      <w:r>
        <w:rPr>
          <w:rFonts w:ascii="Arial" w:cs="Arial" w:eastAsia="Arial" w:hAnsi="Arial"/>
          <w:sz w:val="18"/>
          <w:szCs w:val="18"/>
          <w:color w:val="auto"/>
        </w:rPr>
        <w:t>Topical gene therapy application.</w:t>
      </w:r>
    </w:p>
    <w:p>
      <w:pPr>
        <w:spacing w:after="0" w:line="163" w:lineRule="exact"/>
        <w:rPr>
          <w:rFonts w:ascii="Arial" w:cs="Arial" w:eastAsia="Arial" w:hAnsi="Arial"/>
          <w:sz w:val="17"/>
          <w:szCs w:val="17"/>
          <w:color w:val="auto"/>
        </w:rPr>
      </w:pPr>
    </w:p>
    <w:p>
      <w:pPr>
        <w:ind w:left="840" w:right="10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proprietary, integrated STAR-D gene therapy platform that will allow us to develop a pipeline of products to treat debilitating dermatological diseases.</w:t>
      </w:r>
    </w:p>
    <w:p>
      <w:pPr>
        <w:spacing w:after="0" w:line="75" w:lineRule="exact"/>
        <w:rPr>
          <w:rFonts w:ascii="Arial" w:cs="Arial" w:eastAsia="Arial" w:hAnsi="Arial"/>
          <w:sz w:val="18"/>
          <w:szCs w:val="18"/>
          <w:color w:val="auto"/>
        </w:rPr>
      </w:pPr>
    </w:p>
    <w:p>
      <w:pPr>
        <w:ind w:left="840" w:right="2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significant affinity, or tropism, to the skin and high payload capacity of our HSV-1 viral vector, which will allow us to efficiently deliver single and multiple genes to treat orphan and other dermatological indications.</w:t>
      </w:r>
    </w:p>
    <w:p>
      <w:pPr>
        <w:spacing w:after="0" w:line="75" w:lineRule="exact"/>
        <w:rPr>
          <w:rFonts w:ascii="Arial" w:cs="Arial" w:eastAsia="Arial" w:hAnsi="Arial"/>
          <w:sz w:val="18"/>
          <w:szCs w:val="18"/>
          <w:color w:val="auto"/>
        </w:rPr>
      </w:pPr>
    </w:p>
    <w:p>
      <w:pPr>
        <w:ind w:left="840" w:right="500" w:hanging="211"/>
        <w:spacing w:after="0" w:line="27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proprietary process for both upstream (vector production) and downstream (purification) portions of the manufacturing process, which positions us to maximize scalability, quality and reliability.</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scientific team with expertise in the HSV-1 viral vector.</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management team with a track record in developing drugs from research to approval.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STAR-D Gene Therapy Platform</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believe our STAR-D platform provides an optimal approach for treating dermatological conditions due to the nature of the HSV-1 viral vector we have created. We believe that certain inherent features of the HSV-1 virus, combined with our ability to strategically modify the virus in the form we employ as our gene delivery backbone, provides our STAR-D platform with several advantages over other viral vector platforms for use in dermatological applications. These characteristics of our viral vector include the following:</w:t>
      </w:r>
    </w:p>
    <w:p>
      <w:pPr>
        <w:spacing w:after="0" w:line="92" w:lineRule="exact"/>
        <w:rPr>
          <w:sz w:val="20"/>
          <w:szCs w:val="20"/>
          <w:color w:val="auto"/>
        </w:rPr>
      </w:pPr>
    </w:p>
    <w:p>
      <w:pPr>
        <w:ind w:left="840" w:right="12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Non-integrating nature, meaning that the viral vector does not integrate into the host DNA, eliminating the risk of disrupting the expression of host cell genes and the cancer-causing risks such disruptions could create.</w:t>
      </w:r>
    </w:p>
    <w:p>
      <w:pPr>
        <w:spacing w:after="0" w:line="75" w:lineRule="exact"/>
        <w:rPr>
          <w:rFonts w:ascii="Arial" w:cs="Arial" w:eastAsia="Arial" w:hAnsi="Arial"/>
          <w:sz w:val="18"/>
          <w:szCs w:val="18"/>
          <w:color w:val="auto"/>
        </w:rPr>
      </w:pPr>
    </w:p>
    <w:p>
      <w:pPr>
        <w:ind w:left="840" w:right="46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payload capacity due to its 150 kilobase, or Kb, genome, which allow us to insert single and multiple copies of large genes into the vector.</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Skin affinity, or tropism, which results in efficient cell infection or penetration.</w:t>
      </w:r>
    </w:p>
    <w:p>
      <w:pPr>
        <w:spacing w:after="0" w:line="130" w:lineRule="exact"/>
        <w:rPr>
          <w:rFonts w:ascii="Arial" w:cs="Arial" w:eastAsia="Arial" w:hAnsi="Arial"/>
          <w:sz w:val="18"/>
          <w:szCs w:val="18"/>
          <w:color w:val="auto"/>
        </w:rPr>
      </w:pPr>
    </w:p>
    <w:p>
      <w:pPr>
        <w:ind w:left="840" w:right="380" w:hanging="211"/>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Immunogenicity, or the tendency of the viral vector to invoke an immune response, is low, which enhances the ability of the viral vector to effectively deliver therapeutic genes.</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Viral stability, or resistance to degradation, which allows for ease of manufacturing, storage, transportation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12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Reproducible manufacturing and scalability.</w:t>
      </w:r>
    </w:p>
    <w:p>
      <w:pPr>
        <w:spacing w:after="0" w:line="130" w:lineRule="exact"/>
        <w:rPr>
          <w:rFonts w:ascii="Arial" w:cs="Arial" w:eastAsia="Arial" w:hAnsi="Arial"/>
          <w:sz w:val="18"/>
          <w:szCs w:val="18"/>
          <w:color w:val="auto"/>
        </w:rPr>
      </w:pPr>
    </w:p>
    <w:p>
      <w:pPr>
        <w:ind w:left="840" w:right="100" w:hanging="211"/>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regulatory precedent as a result of Amgen’s Imlygic</w:t>
      </w:r>
      <w:r>
        <w:rPr>
          <w:rFonts w:ascii="Arial" w:cs="Arial" w:eastAsia="Arial" w:hAnsi="Arial"/>
          <w:sz w:val="15"/>
          <w:szCs w:val="15"/>
          <w:color w:val="auto"/>
        </w:rPr>
        <w:t>®</w:t>
      </w:r>
      <w:r>
        <w:rPr>
          <w:rFonts w:ascii="Arial" w:cs="Arial" w:eastAsia="Arial" w:hAnsi="Arial"/>
          <w:sz w:val="18"/>
          <w:szCs w:val="18"/>
          <w:color w:val="auto"/>
        </w:rPr>
        <w:t xml:space="preserve"> drug, which also uses a genetically modified HSV-1 backbone, to treat melonoma, a skin cancer. Imlygic</w:t>
      </w:r>
      <w:r>
        <w:rPr>
          <w:rFonts w:ascii="Arial" w:cs="Arial" w:eastAsia="Arial" w:hAnsi="Arial"/>
          <w:sz w:val="15"/>
          <w:szCs w:val="15"/>
          <w:color w:val="auto"/>
        </w:rPr>
        <w:t>®</w:t>
      </w:r>
      <w:r>
        <w:rPr>
          <w:rFonts w:ascii="Arial" w:cs="Arial" w:eastAsia="Arial" w:hAnsi="Arial"/>
          <w:sz w:val="18"/>
          <w:szCs w:val="18"/>
          <w:color w:val="auto"/>
        </w:rPr>
        <w:t xml:space="preserve"> has been approved for the treatment of melanoma by the U.S. Food and Drug Administration, or FDA, and the European Medicines Agency, or EMA, and involves chronic, or repeat, treatment therapy. Because Imlygic</w:t>
      </w:r>
      <w:r>
        <w:rPr>
          <w:rFonts w:ascii="Arial" w:cs="Arial" w:eastAsia="Arial" w:hAnsi="Arial"/>
          <w:sz w:val="15"/>
          <w:szCs w:val="15"/>
          <w:color w:val="auto"/>
        </w:rPr>
        <w:t>®</w:t>
      </w:r>
      <w:r>
        <w:rPr>
          <w:rFonts w:ascii="Arial" w:cs="Arial" w:eastAsia="Arial" w:hAnsi="Arial"/>
          <w:sz w:val="18"/>
          <w:szCs w:val="18"/>
          <w:color w:val="auto"/>
        </w:rPr>
        <w:t xml:space="preserve"> also uses a modified HSV-1 backbone and is used with repeat administration, we believe there is a regulatory precedent for the use of an HSV-1 backbone in chronic gene therapy of the type we are developing.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Lead Product Candidate: KB-103 for the Treatment of DEB</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lead product candidate, KB103, is currently in preclinical development. KB103 seeks to use gene therapy to treat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our approach of using gene therapy to develop a treatment for DEB, which has not yet been approved by either the FDA or EMA, is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novel. To date, only one gene therapy product has received marketing authorization from the FDA, and only two gene therapy products have received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marketing authorization from the EMA. The current standard of care for DEB patients is limited to palliative measures which seek to provide relief from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some of the symptoms of DEB but do not meaningfully impact disease outcomes. There is no approved treatment for DEB, and the current therapeutic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DEB treatments in clinical development of which we are aware are limited to two companies and two universities employing autologous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approaches. Autologous treatments use a patient’s own tissues and cells to manufacture an individualized therapy. Such therapies are expensive, invasive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time consuming to use, and require highly sophisticated medical teams and procedures. In contrast, KB103 is designed to be an off-the-shelf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treatment for DEB that can be applied either intra-dermally or topically to a patient’s skin, every three to four months. Unlike the current standard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care, KB103 seeks to treat DEB at the molecular level through gene therapy, and is intended to be a non-invasive treatment that can be used without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requiring hospitalization or individual customization.</w:t>
      </w:r>
    </w:p>
    <w:p>
      <w:pPr>
        <w:spacing w:after="0" w:line="10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October 2016, we had a pre-IND meeting with the FDA. Based on responses from the FDA, we plan to submit an IND to initiate a Phase 1/2 clinical trial of KB103 in the first quarter of 2018. Results of this trial, which we expect to receive in mid-2018, will guide us in finalizing the design of a pivotal Phase 3 clinical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to date, a Rare Pediatric Priority Review Voucher can be redeemed to receive a priority review of a subsequent marketing application for a different product.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93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entitled “Risk Factors” immediately following this prospectus summary. These risks include, but are not limited to, the following:</w:t>
      </w:r>
    </w:p>
    <w:p>
      <w:pPr>
        <w:spacing w:after="0" w:line="76" w:lineRule="exact"/>
        <w:rPr>
          <w:sz w:val="20"/>
          <w:szCs w:val="20"/>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independent registered public accounting firm has expressed substantial doubt about our ability to continue as a going concern.</w:t>
      </w:r>
    </w:p>
    <w:p>
      <w:pPr>
        <w:spacing w:after="0" w:line="142" w:lineRule="exact"/>
        <w:rPr>
          <w:rFonts w:ascii="Arial" w:cs="Arial" w:eastAsia="Arial" w:hAnsi="Arial"/>
          <w:sz w:val="17"/>
          <w:szCs w:val="17"/>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and are very early in our development efforts.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 product candidate, KB103, is still in preclinical development.</w:t>
      </w:r>
    </w:p>
    <w:p>
      <w:pPr>
        <w:spacing w:after="0" w:line="130" w:lineRule="exact"/>
        <w:rPr>
          <w:rFonts w:ascii="Arial" w:cs="Arial" w:eastAsia="Arial" w:hAnsi="Arial"/>
          <w:sz w:val="18"/>
          <w:szCs w:val="18"/>
          <w:color w:val="auto"/>
        </w:rPr>
      </w:pPr>
    </w:p>
    <w:p>
      <w:pPr>
        <w:ind w:left="840" w:right="3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advance any of our product candidates to clinical trials, obtain regulatory approval and ultimately commercialize our product candidates.</w:t>
      </w:r>
    </w:p>
    <w:p>
      <w:pPr>
        <w:spacing w:after="0" w:line="75" w:lineRule="exact"/>
        <w:rPr>
          <w:rFonts w:ascii="Arial" w:cs="Arial" w:eastAsia="Arial" w:hAnsi="Arial"/>
          <w:sz w:val="18"/>
          <w:szCs w:val="18"/>
          <w:color w:val="auto"/>
        </w:rPr>
      </w:pPr>
    </w:p>
    <w:p>
      <w:pPr>
        <w:ind w:left="8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tested any of our product candidates in clinical trials, and success in early preclinical studies or clinical trials may not be indicative of results obtained in later preclinical studies and clinical trials.</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find it difficult to enroll an adequate number of patients in our clinical trials, which could delay or prevent us from proceeding with clinical trials of KB103.</w:t>
      </w:r>
    </w:p>
    <w:p>
      <w:pPr>
        <w:spacing w:after="0" w:line="75" w:lineRule="exact"/>
        <w:rPr>
          <w:rFonts w:ascii="Arial" w:cs="Arial" w:eastAsia="Arial" w:hAnsi="Arial"/>
          <w:sz w:val="18"/>
          <w:szCs w:val="18"/>
          <w:color w:val="auto"/>
        </w:rPr>
      </w:pPr>
    </w:p>
    <w:p>
      <w:pPr>
        <w:ind w:left="840" w:right="2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complete the necessary clinical trials, we cannot predict when, or if, we will obtain regulatory approval to commercialize KB103 and the approval may be for a more narrow indication than we seek.</w:t>
      </w:r>
    </w:p>
    <w:p>
      <w:pPr>
        <w:spacing w:after="0" w:line="75" w:lineRule="exact"/>
        <w:rPr>
          <w:rFonts w:ascii="Arial" w:cs="Arial" w:eastAsia="Arial" w:hAnsi="Arial"/>
          <w:sz w:val="18"/>
          <w:szCs w:val="18"/>
          <w:color w:val="auto"/>
        </w:rPr>
      </w:pPr>
    </w:p>
    <w:p>
      <w:pPr>
        <w:ind w:left="840" w:right="26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KB103 is based on a novel technology, which makes it difficult to predict the time and cost of development and of subsequently obtaining regulatory approval. To date, only one gene therapy product has received marketing authorization from the FDA, and only two gene therapy products have received marketing authorization from the European Commission.</w:t>
      </w:r>
    </w:p>
    <w:p>
      <w:pPr>
        <w:spacing w:after="0" w:line="86" w:lineRule="exact"/>
        <w:rPr>
          <w:rFonts w:ascii="Arial" w:cs="Arial" w:eastAsia="Arial" w:hAnsi="Arial"/>
          <w:sz w:val="18"/>
          <w:szCs w:val="18"/>
          <w:color w:val="auto"/>
        </w:rPr>
      </w:pPr>
    </w:p>
    <w:p>
      <w:pPr>
        <w:ind w:left="840" w:right="380" w:hanging="211"/>
        <w:spacing w:after="0" w:line="308"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Negative public opinion and increased regulatory scrutiny of gene therapy may damage public perception of the safety of our KB103 gene therapy product candidate and adversely affect our ability to conduct our business or obtain regulatory approvals for KB103.</w:t>
      </w:r>
    </w:p>
    <w:p>
      <w:pPr>
        <w:spacing w:after="0" w:line="51" w:lineRule="exact"/>
        <w:rPr>
          <w:rFonts w:ascii="Arial" w:cs="Arial" w:eastAsia="Arial" w:hAnsi="Arial"/>
          <w:sz w:val="17"/>
          <w:szCs w:val="17"/>
          <w:color w:val="auto"/>
        </w:rPr>
      </w:pPr>
    </w:p>
    <w:p>
      <w:pPr>
        <w:ind w:left="840" w:right="300" w:hanging="211"/>
        <w:spacing w:after="0" w:line="28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obtain orphan drug exclusivity for KB103 or any other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70" w:lineRule="exact"/>
        <w:rPr>
          <w:rFonts w:ascii="Arial" w:cs="Arial" w:eastAsia="Arial" w:hAnsi="Arial"/>
          <w:sz w:val="17"/>
          <w:szCs w:val="17"/>
          <w:color w:val="auto"/>
        </w:rPr>
      </w:pPr>
    </w:p>
    <w:p>
      <w:pPr>
        <w:ind w:left="84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86" w:lineRule="exact"/>
        <w:rPr>
          <w:rFonts w:ascii="Arial" w:cs="Arial" w:eastAsia="Arial" w:hAnsi="Arial"/>
          <w:sz w:val="18"/>
          <w:szCs w:val="18"/>
          <w:color w:val="auto"/>
        </w:rPr>
      </w:pPr>
    </w:p>
    <w:p>
      <w:pPr>
        <w:ind w:left="840" w:right="380" w:hanging="211"/>
        <w:spacing w:after="0" w:line="31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and maintain approval for KB103 from the FDA, we may never obtain approval for KB103 outside of the United States, which would limit our market opportunities and adversely affect our business. If we are not successful in discovering, developing and commercializing additional product candidates, our ability to expand our business and achieve our strategic objectives would be impaired.</w:t>
      </w:r>
    </w:p>
    <w:p>
      <w:pPr>
        <w:spacing w:after="0" w:line="52" w:lineRule="exact"/>
        <w:rPr>
          <w:rFonts w:ascii="Arial" w:cs="Arial" w:eastAsia="Arial" w:hAnsi="Arial"/>
          <w:sz w:val="16"/>
          <w:szCs w:val="16"/>
          <w:color w:val="auto"/>
        </w:rPr>
      </w:pPr>
    </w:p>
    <w:p>
      <w:pPr>
        <w:ind w:left="840" w:right="4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480" w:hanging="211"/>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this offering, Krish S. Krishnan, our Chief Executive Officer and Chairman of the Board of Directors, and Suma M. Krishnan, our founder, Chief Operating Officer and director, will maintain the ability to substantially influence all matters submitted to stockholders for approval.</w:t>
      </w:r>
    </w:p>
    <w:p>
      <w:pPr>
        <w:spacing w:after="0" w:line="86"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number of employees and limited corporate infrastructure, and may experience difficulties in managing growth.</w:t>
      </w:r>
    </w:p>
    <w:p>
      <w:pPr>
        <w:spacing w:after="0" w:line="130" w:lineRule="exact"/>
        <w:rPr>
          <w:rFonts w:ascii="Arial" w:cs="Arial" w:eastAsia="Arial" w:hAnsi="Arial"/>
          <w:sz w:val="18"/>
          <w:szCs w:val="18"/>
          <w:color w:val="auto"/>
        </w:rPr>
      </w:pPr>
    </w:p>
    <w:p>
      <w:pPr>
        <w:ind w:left="840" w:right="20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success of KB103 will depend upon its degree of market acceptance by physicians, patients, third-party payors and others in the medical community.</w:t>
      </w:r>
    </w:p>
    <w:p>
      <w:pPr>
        <w:spacing w:after="0" w:line="75" w:lineRule="exact"/>
        <w:rPr>
          <w:rFonts w:ascii="Arial" w:cs="Arial" w:eastAsia="Arial" w:hAnsi="Arial"/>
          <w:sz w:val="18"/>
          <w:szCs w:val="18"/>
          <w:color w:val="auto"/>
        </w:rPr>
      </w:pPr>
    </w:p>
    <w:p>
      <w:pPr>
        <w:ind w:left="840" w:right="20" w:hanging="211"/>
        <w:spacing w:after="0" w:line="279"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Our principal executive offices are located at 2100 Wharton Street, Suite 701, Pittsburgh, Pennsylvania 15203, and our telephone number is</w:t>
      </w:r>
    </w:p>
    <w:p>
      <w:pPr>
        <w:spacing w:after="0" w:line="35" w:lineRule="exact"/>
        <w:rPr>
          <w:sz w:val="20"/>
          <w:szCs w:val="20"/>
          <w:color w:val="auto"/>
        </w:rPr>
      </w:pPr>
    </w:p>
    <w:p>
      <w:pPr>
        <w:jc w:val="both"/>
        <w:ind w:left="200" w:right="260" w:hanging="4"/>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586-5830. Our website is www.krystalbio.com. Information contained on, or that can be accessed through, our website is not incorporated by reference into this prospectus, and you should not consider information on our website to be part of this prospectus. We formed as a limited liability company in California under the name Krystal Biotech, LLC in December 2015 and commenced business in April 2016. We converted to a Delaware corporation in March 2017.</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7" w:lineRule="exact"/>
        <w:rPr>
          <w:sz w:val="20"/>
          <w:szCs w:val="20"/>
          <w:color w:val="auto"/>
        </w:rPr>
      </w:pPr>
    </w:p>
    <w:p>
      <w:pPr>
        <w:ind w:left="840" w:right="32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 in this prospectus;</w:t>
      </w:r>
    </w:p>
    <w:p>
      <w:pPr>
        <w:spacing w:after="0" w:line="75" w:lineRule="exact"/>
        <w:rPr>
          <w:rFonts w:ascii="Arial" w:cs="Arial" w:eastAsia="Arial" w:hAnsi="Arial"/>
          <w:sz w:val="18"/>
          <w:szCs w:val="18"/>
          <w:color w:val="auto"/>
        </w:rPr>
      </w:pPr>
    </w:p>
    <w:p>
      <w:pPr>
        <w:ind w:left="840" w:right="32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40" w:hanging="211"/>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1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may take advantage of these provisions for up to five years or such earlier time that we no longer qualify as an emerging growth company. We would cease to be an emerging growth company if we have more than $1.07 billion in annual revenue, have more than $700 million in market value of our capital stock held by non-affiliates or issue more than $1.0 billion of non-convertible debt over a three-year period. We may choose to take advantage of some but not all of these reduced reporting burdens. For example, we intend to take advantage of the reduced reporting requirements with respect to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44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1144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take advantage of these reduced reporting burdens, the information that we provide stockholders may be different than you might obtain from other public companies in which you hold equity interests.</w:t>
      </w:r>
    </w:p>
    <w:p>
      <w:pPr>
        <w:spacing w:after="0" w:line="62"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1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3,000,000 shares</w:t>
      </w:r>
    </w:p>
    <w:p>
      <w:pPr>
        <w:spacing w:after="0" w:line="17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immediately following 8,683,247 shares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offering</w:t>
      </w:r>
    </w:p>
    <w:p>
      <w:pPr>
        <w:sectPr>
          <w:pgSz w:w="11900" w:h="16838" w:orient="portrait"/>
          <w:cols w:equalWidth="0" w:num="1">
            <w:col w:w="11220"/>
          </w:cols>
          <w:pgMar w:left="240" w:top="459" w:right="439" w:bottom="1440" w:gutter="0" w:footer="0" w:header="0"/>
          <w:type w:val="continuous"/>
        </w:sectPr>
      </w:pPr>
    </w:p>
    <w:p>
      <w:pPr>
        <w:spacing w:after="0" w:line="1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have granted to the underwriters the option, exercisable for 30 days from the date of this prospectus, to purchase up to 450,000 additional shares of our common stock.</w:t>
      </w:r>
    </w:p>
    <w:p>
      <w:pPr>
        <w:spacing w:after="0" w:line="52"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Insider participation</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8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color w:val="auto"/>
        </w:rPr>
        <w:t>We estimate that the net proceeds from the sale of our common stock sold in this offering will be approximately $26.5 million (or approximately $30.7 million if the underwriters exercise their option to purchase additional shares in full), based on an assumed initial public offering price of $10.00 per share, the midpoint of the price range set forth on the cover page of this prospectus, after deducting the underwriting discounts and commissions and estimated offering expenses.</w:t>
      </w:r>
    </w:p>
    <w:p>
      <w:pPr>
        <w:spacing w:after="0" w:line="99"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4380" w:right="100"/>
        <w:spacing w:after="0" w:line="255" w:lineRule="auto"/>
        <w:rPr>
          <w:sz w:val="20"/>
          <w:szCs w:val="20"/>
          <w:color w:val="auto"/>
        </w:rPr>
      </w:pPr>
      <w:r>
        <w:rPr>
          <w:rFonts w:ascii="Arial" w:cs="Arial" w:eastAsia="Arial" w:hAnsi="Arial"/>
          <w:sz w:val="18"/>
          <w:szCs w:val="18"/>
          <w:color w:val="auto"/>
        </w:rPr>
        <w:t>We intend to use the net proceeds from this offering to fund the preclinical and clinical development of KB103 for the treatment of DEB and for the preclinical development of KB104 for the treatment of Netherton Syndrome, to fund research for the development of treatments for additional dermatological indications, to design and build our in-house manufacturing facility, and for general corporate purposes, including working capital. See the section entitled “Use of Proceeds.”</w:t>
      </w:r>
    </w:p>
    <w:p>
      <w:pPr>
        <w:sectPr>
          <w:pgSz w:w="11900" w:h="16838" w:orient="portrait"/>
          <w:cols w:equalWidth="0" w:num="1">
            <w:col w:w="11220"/>
          </w:cols>
          <w:pgMar w:left="240" w:top="459" w:right="439" w:bottom="1440" w:gutter="0" w:footer="0" w:header="0"/>
          <w:type w:val="continuous"/>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You should read the section entitled “Risk Factors” and other information included in this prospectus for a discussion of factors you should consider carefully before deciding to invest in shares of our common stock.</w:t>
      </w:r>
    </w:p>
    <w:p>
      <w:pPr>
        <w:spacing w:after="0" w:line="87"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“KRYS”</w:t>
      </w:r>
    </w:p>
    <w:p>
      <w:pPr>
        <w:spacing w:after="0" w:line="131"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right="400" w:firstLine="441"/>
        <w:spacing w:after="0" w:line="264" w:lineRule="auto"/>
        <w:rPr>
          <w:sz w:val="20"/>
          <w:szCs w:val="20"/>
          <w:color w:val="auto"/>
        </w:rPr>
      </w:pPr>
      <w:r>
        <w:rPr>
          <w:rFonts w:ascii="Arial" w:cs="Arial" w:eastAsia="Arial" w:hAnsi="Arial"/>
          <w:sz w:val="18"/>
          <w:szCs w:val="18"/>
          <w:color w:val="auto"/>
        </w:rPr>
        <w:t>The number of shares of our common stock to be outstanding following this offering is based on 5,683,247 shares of our common stock outstanding as of August 31, 2017, including (i) 3,621,474 shares of our common stock outstanding and (ii) 2,061,773 shares of our preferred stock which automatically convert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8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to our common stock on a one-to-one basis immediately prior to the completion of this offering, and which includes 179,613 shares of our Series Seed preferred stock, 968,053 shares of our preferred stock issued on August 8, 2017 upon conversion of our outstanding convertible promissory notes and accrued interest thereon, and 914,107 shares of Series A preferred stock issued on August 8, 2017 to Sun Pharma (Netherlands) B.V. See the section entitled “Recent Developments”. It excludes:</w:t>
      </w:r>
    </w:p>
    <w:p>
      <w:pPr>
        <w:spacing w:after="0" w:line="92" w:lineRule="exact"/>
        <w:rPr>
          <w:sz w:val="20"/>
          <w:szCs w:val="20"/>
          <w:color w:val="auto"/>
        </w:rPr>
      </w:pPr>
    </w:p>
    <w:p>
      <w:pPr>
        <w:ind w:left="840" w:right="20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159,633 shares of our common stock issuable upon the exercise of options outstanding as of June 30, 2017, with a weighted-average exercise price of $3.21 per share;</w:t>
      </w:r>
    </w:p>
    <w:p>
      <w:pPr>
        <w:spacing w:after="0" w:line="75" w:lineRule="exact"/>
        <w:rPr>
          <w:rFonts w:ascii="Arial" w:cs="Arial" w:eastAsia="Arial" w:hAnsi="Arial"/>
          <w:sz w:val="18"/>
          <w:szCs w:val="18"/>
          <w:color w:val="auto"/>
        </w:rPr>
      </w:pPr>
    </w:p>
    <w:p>
      <w:pPr>
        <w:ind w:left="84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18,949 shares of our common stock issuable upon the exercise of options granted after June 30, 2017 through August 15, 2017, with an exercise price of $7.66 per share;</w:t>
      </w:r>
    </w:p>
    <w:p>
      <w:pPr>
        <w:spacing w:after="0" w:line="7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75" w:lineRule="exact"/>
        <w:rPr>
          <w:rFonts w:ascii="Arial" w:cs="Arial" w:eastAsia="Arial" w:hAnsi="Arial"/>
          <w:sz w:val="18"/>
          <w:szCs w:val="18"/>
          <w:color w:val="auto"/>
        </w:rPr>
      </w:pPr>
    </w:p>
    <w:p>
      <w:pPr>
        <w:ind w:left="840" w:right="54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common stock reserved for future issuance under our Krystal Biotech, Inc. 2017 IPO Stock Incentive Plan, which will become effective upon the completion of this offering.</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31" w:lineRule="exact"/>
        <w:rPr>
          <w:sz w:val="20"/>
          <w:szCs w:val="20"/>
          <w:color w:val="auto"/>
        </w:rPr>
      </w:pPr>
    </w:p>
    <w:p>
      <w:pPr>
        <w:ind w:left="840" w:right="140" w:hanging="211"/>
        <w:spacing w:after="0" w:line="30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preferred stock into 2,061,773 shares of our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stock issued on August 8, 2017 to Sun Pharma (Netherlands) B.V. See the section entitled “Recent Developments”;</w:t>
      </w:r>
    </w:p>
    <w:p>
      <w:pPr>
        <w:spacing w:after="0" w:line="59" w:lineRule="exact"/>
        <w:rPr>
          <w:rFonts w:ascii="Arial" w:cs="Arial" w:eastAsia="Arial" w:hAnsi="Arial"/>
          <w:sz w:val="16"/>
          <w:szCs w:val="16"/>
          <w:color w:val="auto"/>
        </w:rPr>
      </w:pPr>
    </w:p>
    <w:p>
      <w:pPr>
        <w:ind w:left="840" w:right="16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130,590 shares of common stock issued to an entity owned and controlled by Daniel S. Janney, a member of our board of directors, in August 2017;</w:t>
      </w:r>
    </w:p>
    <w:p>
      <w:pPr>
        <w:spacing w:after="0" w:line="75" w:lineRule="exact"/>
        <w:rPr>
          <w:rFonts w:ascii="Arial" w:cs="Arial" w:eastAsia="Arial" w:hAnsi="Arial"/>
          <w:sz w:val="18"/>
          <w:szCs w:val="18"/>
          <w:color w:val="auto"/>
        </w:rPr>
      </w:pPr>
    </w:p>
    <w:p>
      <w:pPr>
        <w:ind w:left="840" w:right="180" w:hanging="211"/>
        <w:spacing w:after="0" w:line="31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conversion of all of our outstanding common units and preferred units issued during the period we operated as a limited liability company into shares of common stock and preferred stock on a one-to-one basis, and the conversion of all issued options to purchase incentive units issued during such period into options to purchase an identical number of shares of common stock at the same exercise price per share;</w:t>
      </w:r>
    </w:p>
    <w:p>
      <w:pPr>
        <w:spacing w:after="0" w:line="52" w:lineRule="exact"/>
        <w:rPr>
          <w:rFonts w:ascii="Arial" w:cs="Arial" w:eastAsia="Arial" w:hAnsi="Arial"/>
          <w:sz w:val="16"/>
          <w:szCs w:val="16"/>
          <w:color w:val="auto"/>
        </w:rPr>
      </w:pPr>
    </w:p>
    <w:p>
      <w:pPr>
        <w:ind w:left="840" w:hanging="211"/>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1-to-4.5 forward stock split, in the form of a dividend, which will occur prior to the effectiveness of this registration statement;</w:t>
      </w:r>
    </w:p>
    <w:p>
      <w:pPr>
        <w:spacing w:after="0" w:line="130" w:lineRule="exact"/>
        <w:rPr>
          <w:rFonts w:ascii="Arial" w:cs="Arial" w:eastAsia="Arial" w:hAnsi="Arial"/>
          <w:sz w:val="18"/>
          <w:szCs w:val="18"/>
          <w:color w:val="auto"/>
        </w:rPr>
      </w:pPr>
    </w:p>
    <w:p>
      <w:pPr>
        <w:ind w:left="840" w:right="18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second amended and restated certificate of incorporation in Delaware and the adoption of our amended and restated bylaws, both of which will occur immediately prior to the completion of this offering;</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options;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117" w:lineRule="exact"/>
        <w:rPr>
          <w:sz w:val="20"/>
          <w:szCs w:val="20"/>
          <w:color w:val="auto"/>
        </w:rPr>
      </w:pPr>
    </w:p>
    <w:p>
      <w:pPr>
        <w:ind w:left="200" w:right="380" w:firstLine="441"/>
        <w:spacing w:after="0" w:line="257" w:lineRule="auto"/>
        <w:rPr>
          <w:sz w:val="20"/>
          <w:szCs w:val="20"/>
          <w:color w:val="auto"/>
        </w:rPr>
      </w:pPr>
      <w:r>
        <w:rPr>
          <w:rFonts w:ascii="Arial" w:cs="Arial" w:eastAsia="Arial" w:hAnsi="Arial"/>
          <w:sz w:val="18"/>
          <w:szCs w:val="18"/>
          <w:color w:val="auto"/>
        </w:rPr>
        <w:t>We operated as a California limited liability company from inception of operations on April 15, 2016 until our conversion into a Delaware corporation on March 31, 2017 and were managed by a board of managers prior to conversion. References herein to actions taken by our board of directors include actions taken by our board of managers prior to conversion. References herein to “stock,” “common stock,” “preferred stock,” and “options to purchase common stock” during periods prior to conversion are to “units,” “common units,” “preferred units” and “options to purchase incentive units,” respectively.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August 2017, we issued 914,107 shares of Series A Preferred Stock, or Series A Preferred, to Sun Pharma (Netherlands) B.V., or Sun Pharma, an indirect subsidiary of Sun Pharmaceutical Industries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830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1830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Limited, pursuant to a stock purchase agreement for aggregate proceeds to us of approximately $7.0 million. Sun Pharma is a multinational pharmaceutical company and the largest pharmaceutical company headquartered in India. For so long as it is a holder of Series A Preferred, Sun Pharma has a right to designate and have elected a single representative to our board of directors and accordingly, in September 2017, Kirti Ganorkar was elected to our board of directors. Each share of Series A Preferred will convert into a share of common stock upon the closing of this offering. Simultaneously with the sale of the Series A Preferred, all of our outstanding convertible debt with accrued interest was converted into 968,053 shares of Series A-1 Preferred Stock and Series A-2 Preferred Stock, which will also convert into shares of common stock on a one-for-one basis upon closing of this offering.</w:t>
      </w:r>
    </w:p>
    <w:p>
      <w:pPr>
        <w:spacing w:after="0" w:line="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52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SELECTED FINANCIAL DATA</w:t>
      </w:r>
    </w:p>
    <w:p>
      <w:pPr>
        <w:spacing w:after="0" w:line="229"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The following summary financial data for the year ended December 31, 2016 has been derived from our audited financial statements appearing elsewhere in this prospectus. The summary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“Selected Financial Data”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2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w:t>
            </w:r>
          </w:p>
        </w:tc>
        <w:tc>
          <w:tcPr>
            <w:tcW w:w="1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jc w:val="center"/>
              <w:ind w:left="473"/>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79"/>
              </w:rPr>
              <w:t>98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103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201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Net loss applicable to stockholders and members</w:t>
            </w: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w:t>
            </w:r>
            <w:r>
              <w:rPr>
                <w:rFonts w:ascii="Arial" w:cs="Arial" w:eastAsia="Arial" w:hAnsi="Arial"/>
                <w:sz w:val="15"/>
                <w:szCs w:val="15"/>
                <w:color w:val="auto"/>
              </w:rPr>
              <w:t>(1)</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Basic and diluted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(447.03)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 pro forma (unaudited)</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and common units outstanding</w:t>
            </w: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877,490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450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3,490,844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360"/>
              <w:spacing w:after="0"/>
              <w:rPr>
                <w:sz w:val="20"/>
                <w:szCs w:val="20"/>
                <w:color w:val="auto"/>
              </w:rPr>
            </w:pPr>
            <w:r>
              <w:rPr>
                <w:rFonts w:ascii="Arial" w:cs="Arial" w:eastAsia="Arial" w:hAnsi="Arial"/>
                <w:sz w:val="18"/>
                <w:szCs w:val="18"/>
                <w:color w:val="auto"/>
              </w:rPr>
              <w:t>Basic and diluted, pro forma (unaudited)</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4,275,455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200" w:hanging="324"/>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financial statements included elsewhere in this prospectus for a description of the method used to calculate the basic and diluted net loss per share and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00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600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2017</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Actual</w:t>
            </w:r>
          </w:p>
        </w:tc>
        <w:tc>
          <w:tcPr>
            <w:tcW w:w="560" w:type="dxa"/>
            <w:vAlign w:val="bottom"/>
          </w:tcPr>
          <w:p>
            <w:pPr>
              <w:spacing w:after="0"/>
              <w:rPr>
                <w:sz w:val="10"/>
                <w:szCs w:val="10"/>
                <w:color w:val="auto"/>
              </w:rPr>
            </w:pPr>
          </w:p>
        </w:tc>
        <w:tc>
          <w:tcPr>
            <w:tcW w:w="1400" w:type="dxa"/>
            <w:vAlign w:val="bottom"/>
            <w:vMerge w:val="restart"/>
          </w:tcPr>
          <w:p>
            <w:pPr>
              <w:jc w:val="center"/>
              <w:ind w:right="454"/>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540" w:type="dxa"/>
            <w:vAlign w:val="bottom"/>
          </w:tcPr>
          <w:p>
            <w:pPr>
              <w:spacing w:after="0"/>
              <w:rPr>
                <w:sz w:val="10"/>
                <w:szCs w:val="10"/>
                <w:color w:val="auto"/>
              </w:rPr>
            </w:pPr>
          </w:p>
        </w:tc>
        <w:tc>
          <w:tcPr>
            <w:tcW w:w="9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(2)(3)</w:t>
            </w: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474"/>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3,518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4"/>
              <w:spacing w:after="0"/>
              <w:rPr>
                <w:sz w:val="20"/>
                <w:szCs w:val="20"/>
                <w:color w:val="auto"/>
              </w:rPr>
            </w:pPr>
            <w:r>
              <w:rPr>
                <w:rFonts w:ascii="Arial" w:cs="Arial" w:eastAsia="Arial" w:hAnsi="Arial"/>
                <w:sz w:val="18"/>
                <w:szCs w:val="18"/>
                <w:color w:val="auto"/>
              </w:rPr>
              <w:t>11,518</w:t>
            </w: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(877)</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11,345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assets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3,977</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8"/>
                <w:szCs w:val="18"/>
                <w:color w:val="auto"/>
              </w:rPr>
              <w:t>11,977</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324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Related party promissory notes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1,698</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4,806</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584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1,406</w:t>
            </w:r>
          </w:p>
        </w:tc>
        <w:tc>
          <w:tcPr>
            <w:tcW w:w="5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(2,235)</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11,393</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20" w:right="100" w:hanging="324"/>
        <w:spacing w:after="0" w:line="285"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 forma reflects 130,590 shares of common stock issued to an entity owned and controlled by Daniel S. Janney, a member of our board of directors, in August 2017, as well as the automatic conversion of all outstanding shares of our preferred stock on a one-to-one basis into 2,061,773 shares of our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See the section entitled “Recent Developments”.</w:t>
      </w:r>
    </w:p>
    <w:p>
      <w:pPr>
        <w:spacing w:after="0" w:line="2" w:lineRule="exact"/>
        <w:rPr>
          <w:rFonts w:ascii="Arial" w:cs="Arial" w:eastAsia="Arial" w:hAnsi="Arial"/>
          <w:sz w:val="16"/>
          <w:szCs w:val="16"/>
          <w:color w:val="auto"/>
        </w:rPr>
      </w:pPr>
    </w:p>
    <w:p>
      <w:pPr>
        <w:jc w:val="both"/>
        <w:ind w:left="520" w:right="120" w:hanging="324"/>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as adjusted reflects the sale of 3,000,000 shares of our common stock offered in this offering, assuming an initial public offering price of $10.00 per share, the midpoint of the price range set forth on the cover of this prospectus, after deducting underwriting discounts and commissions and estimated offering expenses payable by us.</w:t>
      </w:r>
    </w:p>
    <w:p>
      <w:pPr>
        <w:spacing w:after="0" w:line="1" w:lineRule="exact"/>
        <w:rPr>
          <w:rFonts w:ascii="Arial" w:cs="Arial" w:eastAsia="Arial" w:hAnsi="Arial"/>
          <w:sz w:val="18"/>
          <w:szCs w:val="18"/>
          <w:color w:val="auto"/>
        </w:rPr>
      </w:pPr>
    </w:p>
    <w:p>
      <w:pPr>
        <w:ind w:left="520" w:right="80" w:hanging="324"/>
        <w:spacing w:after="0" w:line="286"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$1.00 increase (decrease) in the assumed initial public offering price of $10.00 per share, the midpoint of the price range set forth on the cover of this prospectus, would increase (decrease) the pro forma as adjusted amount of each of cash and total stockholders’ (deficit) equity by approximately $2.8 million, assuming that the number of shares offered by us, as set forth on the cover of this prospectus, remains the same and after deducting underwriting discounts and commissions and estimated offering expenses payable by us. A 1.0 million increase in the number of shares offered by us in the assumed initial public offering price of $10.00 per share, the midpoint of the price range set forth on the cover of this prospectus, would increase the pro forma as adjusted amounts of each of cash and total stockholders’ (deficit) equity by approximately $9.3 million after deducting underwriting discounts and commissions and any estimated offering expenses payable by us. Conversely, a 1.0 million decrease in the number of shares offered by us in the assumed initial public offering price of $10.00 per share, the midpoint of the initial public offering price range set forth on the cover of this prospectus, would decrease the pro forma as adjusted amount of each of cash and total stockholders’ (deficit) equity by approximately $9.3 million after deducting underwriting discounts and commissions and any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prospectus, including our financial statements and the related notes, before investing in our common stock. Additional risks and uncertainties that we are unaware of, or that we currently believe are not material, also may become important factors that affect us. If any of the following risks occur, our business, financial condition, results of operations and prospects could be materially and adversely affected. In these circumstances, the market price of our common stock could decline, and you may lose all or part of your investment.</w:t>
      </w:r>
    </w:p>
    <w:p>
      <w:pPr>
        <w:spacing w:after="0" w:line="184" w:lineRule="exact"/>
        <w:rPr>
          <w:sz w:val="20"/>
          <w:szCs w:val="20"/>
          <w:color w:val="auto"/>
        </w:rPr>
      </w:pPr>
    </w:p>
    <w:p>
      <w:pPr>
        <w:ind w:right="3720"/>
        <w:spacing w:after="0" w:line="378" w:lineRule="auto"/>
        <w:rPr>
          <w:sz w:val="20"/>
          <w:szCs w:val="20"/>
          <w:color w:val="auto"/>
        </w:rPr>
      </w:pPr>
      <w:r>
        <w:rPr>
          <w:rFonts w:ascii="Arial" w:cs="Arial" w:eastAsia="Arial" w:hAnsi="Arial"/>
          <w:sz w:val="18"/>
          <w:szCs w:val="18"/>
          <w:b w:val="1"/>
          <w:bCs w:val="1"/>
          <w:color w:val="auto"/>
        </w:rPr>
        <w:t xml:space="preserve">RISKS RELATED TO OUR FINANCIAL POSITION AND NEED FOR ADDITIONAL CAPITAL </w:t>
      </w:r>
      <w:r>
        <w:rPr>
          <w:rFonts w:ascii="Arial" w:cs="Arial" w:eastAsia="Arial" w:hAnsi="Arial"/>
          <w:sz w:val="18"/>
          <w:szCs w:val="18"/>
          <w:b w:val="1"/>
          <w:bCs w:val="1"/>
          <w:i w:val="1"/>
          <w:iCs w:val="1"/>
          <w:color w:val="auto"/>
        </w:rPr>
        <w:t>We have never generated revenue and may never be profitable.</w:t>
      </w:r>
    </w:p>
    <w:p>
      <w:pPr>
        <w:ind w:right="80" w:firstLine="456"/>
        <w:spacing w:after="0" w:line="293" w:lineRule="auto"/>
        <w:rPr>
          <w:sz w:val="20"/>
          <w:szCs w:val="20"/>
          <w:color w:val="auto"/>
        </w:rPr>
      </w:pPr>
      <w:r>
        <w:rPr>
          <w:rFonts w:ascii="Arial" w:cs="Arial" w:eastAsia="Arial" w:hAnsi="Arial"/>
          <w:sz w:val="16"/>
          <w:szCs w:val="16"/>
          <w:color w:val="auto"/>
        </w:rPr>
        <w:t>We have not generated any revenue to date and our ability to achieve profitability depends on our ability to successfully complete the development of, and obtain the regulatory approvals necessary to commercialize, KB103 and any additional product candidates that we may pursue in the future. We do not anticipate generating revenues from product sales for the next several years, if ever. We have devoted substantially all of our efforts to research and development of our gene therapy product candidate, KB103, as well as to building out our infrastructure.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and the preclinical and clinical development of KB103, including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any additional product candidates that we may pursue in the future;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our biologics license application, or BLA, and marketing authorization application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develop our gene therapy product candidate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 for which we may obtain marketing approval;</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 for KB103 in the European Union and in other key geographies.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become and remain profitable, we must develop and eventually commercialize one or more product candidates with significant market potential. This will require us to be successful in a range of challenging activities, including completing preclinical testing and clinical trials of KB103, developing and validating commercial scale manufacturing processes, obtaining marketing approval for this product candidate, manufacturing, marketing and selling any future product candidates for which we may obtain marketing approval and satisfying any post-marketing requirements. In addition, if we were required to discontinue development of KB103, if KB103 does not receive regulatory approval, if we do not obtain our targeted indications for KB103 or if KB103 fails to achieve sufficient market acceptance for any indication, we could be delayed by many years in our ability to achieve profitability, if ever, and would materially adversely affect our business prospects and financial condition. Moreover, if we decide to leverage any</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success with our KB103 product candidate to develop other product opportunities, we may not be successful in such efforts. In any such event, our business will be materially adversely affected.</w:t>
      </w:r>
    </w:p>
    <w:p>
      <w:pPr>
        <w:spacing w:after="0" w:line="6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currently only have two product candidates, KB103 and KB104, and we may never develop, acquire or in-license additional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5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the European Medicines Agency, or EMA, or other regulatory authorities to perform studies in addition to those currently expected, or if there are any delays in completing our clinical trials or the development of KB103, our expenses could increase and revenue could be further delayed.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about our ability to continue as a going concern.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As described in their audit report, our auditors have included an explanatory paragraph that states that we have incurred recurring losses and negative cash flows from operations since inception and have an accumulated deficit at June 30, 2017 of $2.4 million. These matters raise substantial doubt about our ability to continue as a going concern. Our consolidated financial statements do not include any adjustments that might result from the outcome of this uncertainty. If we cannot continue as a viable entity, our securityholders may lose some or all of their investment in us.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funding in order to receive approval for KB103 or any other product candidate. Such funding may not be available on acceptable terms, or at all. Failure to obtain this necessary capital when needed may force us to delay, limit or terminate certain of our product development efforts or other operations.</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estimate that the net proceeds from this offering will be approximately $26.5 million (or $30.7 million, if the underwriters exercise their option to purchase additional shares in full), based on an assumed initial public offering price of $10.00 per share, the midpoint of the price range set forth on the cover page of this prospectus, after deducting underwriting discounts and commissions and estimated offering expenses payable by us. In order to complete the process of obtaining regulatory approval for KB103 and to build the sales, marketing and distribution infrastructure that we believe will be necessary to commercialize KB103, if approved, we will require substantial additional funding. In addition, if we obtain marketing approval for KB103, we expect to incur significant expenses related to product sales, medical affairs, marketing, manufacturing and distribution. Furthermore, we expect to incur additional costs associated with operating as a public company. We anticipate that we will need additional funding to complete the development of KB103 and any future product candidates and to commercialize any such approved products.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planned clinical trials of KB103;</w:t>
      </w:r>
    </w:p>
    <w:p>
      <w:pPr>
        <w:spacing w:after="0" w:line="130"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manufacturing, preclinical development and clinical trials for any other product candidates that we may pursue in the future, if any;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KB103 and any other product candidates we may develop;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manufacturing process development and evaluation of third-party manufacturers;</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in the event we receive marketing approval for KB103 or any other product candidates we may develop;</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costs of our product candidates, if approved, will be paid by health maintenance, managed care, pharmacy benefit and similar healthcare management organizations, or will be reimbursed by government authorities, private health coverage insurers and other third-party payors;</w:t>
      </w:r>
    </w:p>
    <w:p>
      <w:pPr>
        <w:spacing w:after="0" w:line="86"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if any, received from commercial sale of KB103 or other product candidates, should any of our product candidates receive marketing approval;</w:t>
      </w:r>
    </w:p>
    <w:p>
      <w:pPr>
        <w:spacing w:after="0" w:line="75" w:lineRule="exact"/>
        <w:rPr>
          <w:rFonts w:ascii="Arial" w:cs="Arial" w:eastAsia="Arial" w:hAnsi="Arial"/>
          <w:sz w:val="18"/>
          <w:szCs w:val="18"/>
          <w:color w:val="auto"/>
        </w:rPr>
      </w:pPr>
    </w:p>
    <w:p>
      <w:pPr>
        <w:ind w:left="660" w:right="80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license agreements remaining in effect and our achievement of milestones under those agreements;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licenses on favorable terms, if at all;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 candidates that may not be commercially available for many years, if at all. Accordingly, we will need to continue to rely on additional financing to achieve our business objectives. Any additional fundraising efforts may divert our management from their day-to-day activities, which may adversely affect our ability to develop and commercialize our product candidates.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a portion of our operating cash flows, if any, being dedicated to the payment of principal and interest on such indebtedness,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Furthermore, existing stockholders may not agree with our financing plans or the terms of such financings. Adequate additional financing may not be available to us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development-stage company that commenced operations in 2016. Our efforts to date, with respect to the development of KB103, have been limited to organizing and staffing our company, business planning, raising capital, developing our STAR-D platform and related technologies, identifying KB103 as a potential gene therapy product candidate and undertaking preclinical trials of KB103. We have not yet demonstrated the ability to complete clinical trials of KB103 or any other product candidate, obtain marketing approvals, manufacture a commercial-scale product or conduct sales and marketing activities necessary for successful commercialization. Consequently, any predictions you make about our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success or viability may not be as accurate as they could be if we had more experience developing gene therapy products.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do not currently have the ability to perform the sales, marketing and manufacturing functions necessary for the production and sale of KB103 on a commercial scale. Our lead product candidate, KB103, will be required to undergo significant clinical trials before it can be commercialized, if at all. The successful commercialization of KB103 will require us to perform a variety of functions, including:</w:t>
      </w:r>
    </w:p>
    <w:p>
      <w:pPr>
        <w:spacing w:after="0" w:line="8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development of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required regulatory approvals;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formulating and manufacturing product candidates;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will need to transition at some point from a company with a research and development focus to a company capable of undertaking commercial activities. We may encounter unforeseen expenses, difficulties, complications and delays and may not be successful in such a transition.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are early in our development efforts and our lead product candidate, KB103, is still in preclinical development. If we are unable to advance KB103 to clinical trials, obtain regulatory approval and ultimately commercialize KB103, or experience significant delays in doing so, our business will be materially harmed.</w:t>
      </w:r>
    </w:p>
    <w:p>
      <w:pPr>
        <w:spacing w:after="0" w:line="7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are early in our development efforts and KB103 is still in preclinical development. Pending additional regulatory approvals, we plan to initiate a Phase 1/2 clinical trial in the first quarter of 2018. The development and commercialization of KB103 or any other product candidate we may develop is subject to many uncertainties, including the following:</w:t>
      </w:r>
    </w:p>
    <w:p>
      <w:pPr>
        <w:spacing w:after="0" w:line="8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additional preclinical studies and successful enrollment and completion of clinical trials;</w:t>
      </w:r>
    </w:p>
    <w:p>
      <w:pPr>
        <w:spacing w:after="0" w:line="130"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effective investigational new drug application, or IND, and clinical trial authorizations, or CTA, that allow us to commence our planned clinical trials for KB103;</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results from our planned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30" w:lineRule="exact"/>
        <w:rPr>
          <w:rFonts w:ascii="Arial" w:cs="Arial" w:eastAsia="Arial" w:hAnsi="Arial"/>
          <w:sz w:val="18"/>
          <w:szCs w:val="18"/>
          <w:color w:val="auto"/>
        </w:rPr>
      </w:pPr>
    </w:p>
    <w:p>
      <w:pPr>
        <w:ind w:left="660" w:right="98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our existing arrangements with third-party manufacturers for clinical supply and successful development of our internal manufacturing processes on an ongoing basis;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launch of KB103, if and when approved, whether alone or in collaboration with others;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KB103, if and when approved, by patients, the medical community and third-party payors;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KB103, which would materially harm our business. If we do not receive regulatory approvals for KB103, our business, financial condition, results of operations and prospects could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not tested KB103 in clinical trials. Success in early preclinical studies may not be indicative of results obtained in later preclinical studies and clinical trials.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KB103 has never been evaluated in human clinical trials, and we may experience unexpected or adverse results in the future. We will be required to demonstrate through adequate and well-controlled clinical trials that KB103 is safe for humans and effective for indicated uses before we can seek regulatory approvals for commercial sale.</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positive results we have observed for KB103 in preclinical trials may not be predictive of outcomes in our future clinical trials. KB103, or other product candidates, may also fail to show the desired safety and efficacy in later stages of clinical development even if they successfully advance through initial clinical trials. The clinical trial process may fail to demonstrate that KB103 is safe for humans and effective for indicated uses, which may cause us to abandon KB103, which is currently our lead product candidate.</w:t>
      </w:r>
    </w:p>
    <w:p>
      <w:pPr>
        <w:spacing w:after="0" w:line="7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Data obtained from preclinical and clinical activities are subject to varying interpretations, which may delay, limit or prevent regulatory approval. Regulatory delays or rejections may be encountered as a result of many factors, including changes in regulatory policy during the period of product development, failure to perform in accordance with FDA good clinical practices or applicable regulatory guidelines in the EU and other countries, selection of clinical endpoints that require prolonged periods of clinical observation or analysis of the resulting data, or changes in regulatory requirements and guidance that require amending or submitting new clinical protocols. In addition, the design of a clinical trial can determine whether its results will support approval of a product, and flaws in the design of a clinical trial may not become apparent until the clinical trial is well advanced. We cannot be certain that we will not face these or similar setbacks.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an adequate number of patients in our clinical trials, which could delay or prevent us from proceeding with clinical trials of KB103.</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Identifying and qualifying patients to participate in clinical trials of KB103 is critical to our success. The timing of our clinical trials depends on our ability to recruit an adequate number of patients to participate as well as completion of required follow-up periods. If patients are unwilling to participate in our gene therapy studies because of competitive clinical trials for similar patient populations, negative publicity from adverse events related to the biotechnology or gene therapy fields or for other reasons, the timeline for recruiting patients, conducting studies and obtaining regulatory approval of KB103 may be delayed. These delays could result in increased costs, delays in advancing KB103, delays in testing the effectiveness of KB103 or termination of clinical trials altogether.</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KB103 and the approval may be for a more narrow indication than we seek.</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cannot commercialize a product candidate until the appropriate regulatory authorities have reviewed and approved the product candidate. Even if KB103 meets its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5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Risk Evaluation and Mitigation Strategy, or REMS. These regulatory authorities may require precautions or contra-indications with respect to conditions of use or they may grant approval subject to the performance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of costly post-marketing clinical trials. In addition, regulatory authorities may not approve the labeling claims that are necessary or desirable for the successful commercialization of KB103. Any of the foregoing scenarios could materially harm the commercial prospects for KB103 and materially and adversely affect our business, financial condition, results of operations and prospects.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KB103 is based on a novel technology, which makes it difficult to predict the time and cost of development and of subsequently obtaining regulatory approval.</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clinical trial requirements of the FDA,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one gene therapy product, Novartis’ Kymria, has received marketing approval by the FDA, and only two gene therapy products, uniQure N.V.’s Glybera</w:t>
      </w:r>
      <w:r>
        <w:rPr>
          <w:rFonts w:ascii="Arial" w:cs="Arial" w:eastAsia="Arial" w:hAnsi="Arial"/>
          <w:sz w:val="15"/>
          <w:szCs w:val="15"/>
          <w:color w:val="auto"/>
        </w:rPr>
        <w:t>®</w:t>
      </w:r>
      <w:r>
        <w:rPr>
          <w:rFonts w:ascii="Arial" w:cs="Arial" w:eastAsia="Arial" w:hAnsi="Arial"/>
          <w:sz w:val="18"/>
          <w:szCs w:val="18"/>
          <w:color w:val="auto"/>
        </w:rPr>
        <w:t xml:space="preserve"> and GlaxoSmithKline’s Strimvelis™, have received marketing authorization from the European Commission.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FDA may require for approval.</w:t>
      </w:r>
    </w:p>
    <w:p>
      <w:pPr>
        <w:spacing w:after="0" w:line="8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or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or the NIH, also are potentially subject to review by the NIH Office of Biotechnology Activities’ Recombinant DNA Advisory Committee, or the RAC; however, the NIH recently announced that the RAC will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institutional biosafety committee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our product candidates. Similarly, the EMA may issue new guidelines concerning the development and marketing authorization for gene therapy medicinal products and require that we comply with these new guidelines.</w:t>
      </w:r>
    </w:p>
    <w:p>
      <w:pPr>
        <w:spacing w:after="0" w:line="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KB103 or future product candidates or lead to significant post-approval limitations or restrictions. As we advance KB103, we will be required to consult with these regulatory and advisory groups, and comply with applicable guidelines. If we fail to do so, we may be required to delay or discontinue development of KB103.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KB103 may cause undesirable side effects or have other properties that could delay or prevent its regulatory approval, limit the commercial potential or result in significant negative consequences following any potential marketing approval.</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have been several significant adverse side effects in gene therapy trials using other vectors in the past.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while not necessarily adverse to the patient’s health, could substantially limit the effectiveness of the treatment. In previous clinical trials involving vectors derived from adeno-associated virus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further clinical development of KB103.</w:t>
      </w:r>
    </w:p>
    <w:p>
      <w:pPr>
        <w:spacing w:after="0" w:line="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side effects caused by the product candidate, the administration process or related procedures also can cause adverse side effects. If any such adverse events occur, our clinical trials could be suspended or terminated. If in the future we are unable to demonstrate that such adverse events were caused by the administration process or related procedures, the FDA, the European Commission, the EMA or other regulatory authorities could order us to cease further development of, or deny approval of, KB103 for any or all targeted indications. Even if we are able to demonstrate that any serious adverse events are not product-related, such occurrences could affect patient recruitment or the ability of enrolled patients to complete the trial. Moreover, if we elect, or are required, to delay, suspend or terminate any clinical trial of KB103, the commercial prospects of such product candidate may be harmed and our ability to generate product revenues from this product candidate may be delayed or eliminated. Any of these occurrences may harm our ability to develop other product candidates, and may harm our business, financial condition and prospects significantly.</w:t>
      </w:r>
    </w:p>
    <w:p>
      <w:pPr>
        <w:spacing w:after="0" w:line="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if KB103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KB103, several potentially significant negative consequences could result, including:</w:t>
      </w:r>
    </w:p>
    <w:p>
      <w:pPr>
        <w:spacing w:after="0" w:line="9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KB103 and could significantly harm our business, financial condition, results of operations and prospects.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jc w:val="both"/>
        <w:ind w:right="580" w:firstLine="456"/>
        <w:spacing w:after="0" w:line="286" w:lineRule="auto"/>
        <w:rPr>
          <w:sz w:val="20"/>
          <w:szCs w:val="20"/>
          <w:color w:val="auto"/>
        </w:rPr>
      </w:pPr>
      <w:r>
        <w:rPr>
          <w:rFonts w:ascii="Arial" w:cs="Arial" w:eastAsia="Arial" w:hAnsi="Arial"/>
          <w:sz w:val="17"/>
          <w:szCs w:val="17"/>
          <w:color w:val="auto"/>
        </w:rPr>
        <w:t>Before obtaining marketing approval from regulatory authorities for the sale of our drug candidates, we must conduct extensive clinical trials to demonstrate the safety and efficacy of the drug candidate for its intended indications. Clinical trials are expensive, time consuming and uncertain as to outcome. We cannot guarantee that any clinical trials will be conducted as planned or completed on schedule, if at all.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failure of one or more clinical trials can occur at any stage of testing. Events that may prevent successful or timely completion of clinical development include:</w:t>
      </w:r>
    </w:p>
    <w:p>
      <w:pPr>
        <w:spacing w:after="0" w:line="7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opening sites and recruiting suitable patients to participate in our clinical trials;</w:t>
      </w:r>
    </w:p>
    <w:p>
      <w:pPr>
        <w:spacing w:after="0" w:line="130"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concerns with a class of drug candidates, or after an inspection of our clinical trial operations or trial sites;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drug candidate that are viewed to outweigh its potential benefits;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In addition, if we make manufacturing or formulation changes to KB103, we may need to conduct additional studies to bridge our modified product candidate to earlier versions. Clinical trial delays could also shorten any periods during which we may have the exclusive right to commercialize KB103 or allow our competitors to bring products to market before we do, which could limit our potential revenue or impair our ability to successfully commercialize KB103 and may harm our business, financial condition, results of operations and prospects. Any delays, setbacks or failures in our clinical trials could materially and adversely affect our business, financial condition, results of operations and prospects.</w:t>
      </w:r>
    </w:p>
    <w:p>
      <w:pPr>
        <w:spacing w:after="0" w:line="6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drug candidates, we may:</w:t>
      </w:r>
    </w:p>
    <w:p>
      <w:pPr>
        <w:spacing w:after="0" w:line="7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IND applications or the conduct of these trials. Therefore, we cannot predict with any certainty the schedule for commencement and completion of future clinical trials. If we experience delays in the commencement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completion of our clinical trials, or if we terminate a clinical trial prior to completion, the commercial prospects of our drug candidates could be negatively impacted, and our ability to generate revenues from our drug candidates may be delayed.</w:t>
      </w:r>
    </w:p>
    <w:p>
      <w:pPr>
        <w:spacing w:after="0" w:line="1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may damage public perception of the safety of our gene therapy product candidates and adversely affect our ability to conduct our business or obtain regulatory approvals for our product candidates.</w:t>
      </w:r>
    </w:p>
    <w:p>
      <w:pPr>
        <w:spacing w:after="0" w:line="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Gene therapy remains a novel technology, with only one gene therapy product approved to date in the United States and only two gene therapy products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trials using other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our success will depend upon physicians who specialize in the treatment of DEB prescribing treatments that involve the use of KB103 in lieu of, or in addition to, other treatments with which they are more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KB103 or demand for any product candidate we may develop.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KB103, stricter labeling requirements for KB103 if approved and a decrease in demand for KB103.</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KB103 or our future product candidates are smaller than we believe they are, our product revenues may be adversely affected and our business may suffer.</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currently focusing our research and product development efforts on our KB103 treatment for DEB. Our understanding of both the number of people who have this disease, as well as the subset of people with this disease who have the potential to benefit from treatment with KB103, are based on estimates in published literature. These estimates may prove to be incorrect and new studies may reduce the estimated incidence or prevalence of this disease. The number of patients in the United States, the European Union and elsewhere may turn out to be lower than expected or these patients may not be otherwise amenable to treatment with KB103 or may become increasingly difficult to identify and access, all of which would adversely affect our business, financial condition, results of operations and prospects.</w:t>
      </w:r>
    </w:p>
    <w:p>
      <w:pPr>
        <w:spacing w:after="0" w:line="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KB103 less than the potentially addressable market. These include the lack of widespread availability of, and limited reimbursement for, new therapies in many underdeveloped markets. Further, the severity of the progression of a disease up to the time of treatment will likely diminish the therapeutic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benefit conferred by a gene therapy due to irreversible cell damage. Lastly, certain patients’ immune systems might prohibit the successful delivery of certain gene therapy products to the target tissue, thereby limiting the treatment outcomes.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KB103 and any future product candidates will depend upon its degree of market acceptance by physicians, patients, third-party payors and others in the medical community.</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Ethical, social and legal concerns about gene therapy could result in additional regulations restricting or prohibiting KB103. Even with the requisite approvals from the FDA in the United States, the EMA in the European Union and other regulatory authorities internationally, the commercial success of KB103 will depend, in part, on the acceptance of physicians, patients and health care payors of gene therapy products in general, and KB103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KB103, if approved for commercial sale, will depend on several factors, including:</w:t>
      </w:r>
    </w:p>
    <w:p>
      <w:pPr>
        <w:spacing w:after="0" w:line="95"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of KB103 as demonstrated in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potential and perceived advantages of KB103 over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KB103 relative to alternative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KB103 is approved by the FDA or the European Commission;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products and their ability to meet market demand;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favorable third-party payor coverage and adequate reimbursement.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them outside of the United States, which would limit our market opportunities and adversely affect our business.</w:t>
      </w:r>
    </w:p>
    <w:p>
      <w:pPr>
        <w:spacing w:after="0" w:line="62"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FDA. Sales of KB103 or other future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 candidates, if approved, is also subject to approval. We intend to submit a marketing authorization application to the EMA for approval of KB103 in the European Union, but obtaining such approval from the European Commission following the opinion of the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KB103 or our future product candidates will be harmed and our business, financial condition, results of operations and prospects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number of employees and limited corporate infrastructure, and may experience difficulties in managing growth.</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are a small company with a limited number of employees and corporate infrastructure. For example, we currently do not have a full-time chief financial officer or principal accounting officer in-house, and rely on professional service providers for these functions. We expect to experience a period of significant expansion in headcount, facilities, infrastructure and overhead as we mature and to meet our new reporting requirements under the Securities Exchange Act of 1934, as amended. Future growth will impose significant added capital requirements, as well as added responsibilities on members of management, including the need to identify, recruit, maintain and integrate new personnel. Our future financial performance and our ability to compete effectively will depend, in part, on our ability to manage any future growth effectively.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 candidates will remain subject to regulatory oversight.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Even if we obtain any regulatory approval for KB103, our lead product candidate, it will be subject to ongoing regulatory requirements for manufacturing, labeling, packaging, storage, advertising, promotion, sampling, record-keeping and submission of safety and other post-market information. Any regulatory approvals that we receive for KB103 may also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and our current and each of our proposed clinical trials for KB103 includes a 15 year long-term follow-up phase, limited to confirmed data collection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annual visits with standard care physicians.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fail to comply with applicable regulatory requirements following approval of KB103 or any future product candidate, a regulatory authority may:</w:t>
      </w:r>
    </w:p>
    <w:p>
      <w:pPr>
        <w:spacing w:after="0" w:line="154"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660" w:right="660" w:hanging="20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KB103 and adversely affect our business, financial condition, results of operations and prospects.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KB103.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may be unable to obtain orphan drug exclusivity for KB103 or any other future product candidate. If our competitors are able to obtain orphan drug exclusivity for products that constitute the same drug and treat the same indications as KB103 before us, we may not be able to have competing products approved by the applicable regulatory authority for a significant period of time.</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plan to seek an orphan drug designation from the FDA for KB103. 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70" w:lineRule="exact"/>
        <w:rPr>
          <w:sz w:val="20"/>
          <w:szCs w:val="20"/>
          <w:color w:val="auto"/>
        </w:rPr>
      </w:pPr>
    </w:p>
    <w:p>
      <w:pPr>
        <w:ind w:right="340" w:firstLine="456"/>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7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Even if we obtain orphan drug exclusivity for KB103,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660" w:right="10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2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Breakthrough therapy designation, Fast Track designation or Rare Pediatric Disease designation by the FDA, even if granted for any of our product candidates, may not lead to a faster development, regulatory review or approval process, and it does not increase the likelihood that any of our product candidates will receive marketing approval in the United States.</w:t>
      </w:r>
    </w:p>
    <w:p>
      <w:pPr>
        <w:spacing w:after="0" w:line="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in the future, apply for breakthrough therapy designation or Fast Track designation in the United States for our product candidates. We plan to apply for breakthrough therapy designation in the first quarter of 2017 and Fast Track designation in the second quarter of 2018 for KB103 and we have been granted rare pediatric disease designation for KB103. Each of these designations is within the discretion of the FDA. Accordingly, even if we believe one of our product candidates meets the criteria for breakthrough therapy designation, Fast Track designation or rare pediatric disease designation, the FDA may disagree. In any event, the receipt of any of these designations for a product candidate may not result in a faster development process, review or approval compared to products considered for approval under conventional FDA procedures and does not assure ultimate approval by the FDA.</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breakthrough therapy product candidate is defined as a product candidate that is intended, alone or in combination with one or more other drugs, to treat a serious or life-threatening disease or condition and preliminary clinical evidence indicates that such product candidate may demonstrate substantial improvement on one or more clinically significant endpoints over existing therapies. Drugs designated as breakthrough therapies by the FDA are eligible for accelerated approval and increased interaction and communication with the FDA designed to expedite the development and review process. If a drug, or biologic in our case, is intended for the treatment of a serious or life-threatening condition and the biologic demonstrates the potential to address unmet medical needs for this condition, the biologic sponsor may apply for FDA Fast Track designation. Even if we do receive Fast Track designation, we may not experience a faster development process, review or approval compared to conventional FDA procedures. In addition, the FDA may withdraw Fast Track designation if it believes that the designation is no longer supported by data from our clinical development program. Many biologics that have received Fast Track designation have failed to obtain approval.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is no assurance we will receive breakthrough therapy or Fast Track designations for any of our product candidates and the receipt of any of these designations for a product candidate may not result in a faster development process, review or approval and does not assure ultimate approval by the FDA. Further, even though we have received rare pediatric disease designation for KB103, we may not experience a faster development process, review or approval for a subsequent marketing application.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our ability to expand our business and achieve our strategic objectives would be impaired.</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Although a substantial amount of our efforts focuses on the potential approval of KB103, a key component our strategy is to discover, develop and potentially commercialize a portfolio of product candidates to treat orphan diseases and ultimately, non-orphan diseases.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 candidates for many reasons, including the following:</w:t>
      </w:r>
    </w:p>
    <w:p>
      <w:pPr>
        <w:spacing w:after="0" w:line="94"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are unsuccessful in identifying and developing additional product candidates, our potential for growth may be impaired.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adversely affect our financial condition and our ability to successfully market or commercialize KB103.</w:t>
      </w:r>
    </w:p>
    <w:p>
      <w:pPr>
        <w:spacing w:after="0" w:line="73"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At this time, there are no known FDA or EMA approved treatments for DEB, or any approved gene therapy treatment for dermatological indications, generally. However, we are aware of several companies and institutions that are currently developing alternative autologous or palliative gene therapy approaches for DEB. 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KB103 uneconomical or obsolete, and we may not be successful in marketing KB103 against competitors.</w:t>
      </w:r>
    </w:p>
    <w:p>
      <w:pPr>
        <w:spacing w:after="0" w:line="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 that we may develop and commercialize.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approvals of the process and facilities needed to manufacture KB103 or disruptions in our manufacturing process may delay or disrupt our product development and commercialization efforts.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Before we can begin to commercially manufacture KB103, whether in a third-party facility or in our own facility, once established, we must obtain regulatory approval from FDA for our manufacturing process and facility. A manufacturing authorization must also be obtained from the appropriate European Union regulatory authorities. The timeframe required for us to obtain such approvals is uncertain. In addition, we must pass a pre-approval inspection of our manufacturing facility by the FDA before KB103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manufacturing process used to produce KB103 is complex, novel and has not been validated for commercial use. In order to produce sufficient quantities of KB103 for future clinical trials and initial U.S. commercial demand, we will need to increase the scale of our manufacturing process. The production of KB103 requires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KB103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Although we intend to establish our own KB103 manufacturing facility, we expect to utilize third parties to conduct our product manufacturing for the near future. Therefore, we are subject to the risk that these third parties may not perform satisfactorily.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Until such time as we establish our manufacturing facility that has been properly validated to comply with FDA cGMP requirements, we will not be able to independently manufacture material for our planned preclinical and clinical programs. Even following our establishment of a validated cGMP manufacturing facility, we intend to maintain third-party manufacturing capabilities in order to provide multiple sources of supply. In the event that the establishment of our own manufacturing facility is delayed and if these third-party manufacturers do not successfully carry out their contractual duties, meet expected deadlines or manufacture KB103 in accordance with regulatory requirements or if there are disagreements between us and these third-party manufacturers, we will not be able to complete, or may be delayed in completing, the preclinical studies required to support future IND submissions and the clinical trials required for approval of KB103. In such instances, we may need to locate an appropriate replacement third-party relationship, which may not be readily available or on acceptable terms, which would cause additional delay or increased expense prior to the approval of KB103 and would thereby have a material adverse effect on our business, financial condition, results of operations and prospects.</w:t>
      </w:r>
    </w:p>
    <w:p>
      <w:pPr>
        <w:spacing w:after="0" w:line="7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Building our own manufacturing facility will require additional investment, will be time consuming and may be subject to delays, including because of shortage of labor or compliance with regulatory requirements. In addition, building a manufacturing facility may cost more than we currently anticipate. Delays or problems in the build out of our manufacturing facility may adversely impact our ability to obtain regulatory approval and provide supply for the development and commercialization of KB103 as well as our financial condition.</w:t>
      </w:r>
    </w:p>
    <w:p>
      <w:pPr>
        <w:spacing w:after="0" w:line="7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we or our third-party manufacturer fails to comply with applicable cGMP regulations, the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materially harmed.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w:t>
      </w:r>
    </w:p>
    <w:p>
      <w:pPr>
        <w:spacing w:after="0" w:line="62"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materially adversely affect our ability to produce KB103 on schedule and could, therefore, harm our results of operations and cause reputational damage.</w:t>
      </w:r>
    </w:p>
    <w:p>
      <w:pPr>
        <w:spacing w:after="0" w:line="62"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KB103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and scientific advisors and to attract, retain and motivate qualified personnel.</w:t>
      </w:r>
    </w:p>
    <w:p>
      <w:pPr>
        <w:spacing w:after="0" w:line="14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are highly dependent on members of our executive team, the loss of whose services may adversely impact the achievement of our objectives. Our employees and scientific advisors are at-will employees and consultants, and the loss of one or more of them might impede the achievement of our research, development and commercialization objectives.</w:t>
      </w:r>
    </w:p>
    <w:p>
      <w:pPr>
        <w:spacing w:after="0" w:line="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Recruiting and retaining other qualified employees and scientific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or advisors, may impede the progress of our research, development and commercialization objectives and have a material adverse effect on our business, financial condition, results of operations and prospects.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and advisors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and advisors.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 asserting our rights, those actions could have a significant impact on our business, financial condition, results of operations and prospects, including the imposition of significant fines or other sanctions.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drug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and Education Reconciliation Act, or the PPACA, was passed, which substantially changes the way healthcare is financed by both the government and private insurers, and significantly impacts the U.S. pharmaceutical industry. The PPACA, among other things: (i) addresses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and extends the rebate program to individuals enrolled in Medicaid managed care organizations; (iii) establishes annual fees and taxes on manufacturers of certain branded prescription drugs; (iv) expands the availability of lower pricing under the 340B drug pricing program by adding new entities to the program; and (v) establishes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PPACA. Following the passage of the Budget Resolution, in March 2017, the U.S. House of Representatives introduced legislation known as the American Health Care Act, which, if enacted, would amend or repeal significant portions of the PPACA. Among other changes, the American Health Care Act would repeal the annual fee on certain brand prescription drugs and biologics imposed on manufacturers and importers, eliminate penalties on individuals and employers that fail to maintain or provide minimum essential coverage, and create refundable tax credits to assist individuals in buying health insurance. The American Health Care Act would also make significant changes to Medicaid by, among other things, making Medicaid expansion optional for states, repealing the requirement that state Medicaid plans provide the same essential health benefits that are required by plans available on the exchanges, modifying federal funding, including implementing a per capita cap on federal payments to states, and changing certain eligibility requirements. While it is uncertain when or if the provisions in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American Health Care Act will become law, or the extent to which any changes may impact our business, it is clear that concrete steps are being taken to repeal and replace certain aspects of the PPACA.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 Moreover, the creation of this abbreviated approval pathway does not preclude or delay a third party from pursuing approval of a competitive product candidate via the traditional approval pathway based on their own clinical trial data. 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the American Taxpayer Relief Act of 2012, among other things, further reduced Medicare payments to certain providers, and increased the statute of limitations period for the government to recover overpayments to providers from three to five years. Additionally,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Additional changes that may affect our business include those governing enrollment in federal healthcare programs, reimbursement changes, fraud and abuse enforcement, and expansion of new programs, such as Medicare payment for performance initiatives.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expect that these initiatives,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could result in reduced demand for KB103 or additional pricing pressures, and may prevent us from being able to generate revenue, attain profitability, or commercialize our products.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If we obtain FDA approval for KB103 and begin commercializing it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64" w:lineRule="exact"/>
        <w:rPr>
          <w:sz w:val="20"/>
          <w:szCs w:val="20"/>
          <w:color w:val="auto"/>
        </w:rPr>
      </w:pPr>
    </w:p>
    <w:p>
      <w:pPr>
        <w:jc w:val="both"/>
        <w:ind w:left="660" w:right="400" w:hanging="206"/>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302" w:lineRule="auto"/>
        <w:rPr>
          <w:sz w:val="20"/>
          <w:szCs w:val="20"/>
          <w:color w:val="auto"/>
        </w:rPr>
      </w:pPr>
      <w:r>
        <w:rPr>
          <w:rFonts w:ascii="Arial" w:cs="Arial" w:eastAsia="Arial" w:hAnsi="Arial"/>
          <w:sz w:val="16"/>
          <w:szCs w:val="16"/>
          <w:color w:val="auto"/>
        </w:rPr>
        <w:t>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amended the intent requirement of the federal Anti-Kickback Statute. A person or entity no longer needs to have actual knowledge of this statute or specific intent to violate it;</w:t>
      </w:r>
    </w:p>
    <w:p>
      <w:pPr>
        <w:spacing w:after="0" w:line="60" w:lineRule="exact"/>
        <w:rPr>
          <w:sz w:val="20"/>
          <w:szCs w:val="20"/>
          <w:color w:val="auto"/>
        </w:rPr>
      </w:pPr>
    </w:p>
    <w:p>
      <w:pPr>
        <w:ind w:left="660" w:right="220" w:hanging="206"/>
        <w:spacing w:after="0" w:line="30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59" w:lineRule="exact"/>
        <w:rPr>
          <w:rFonts w:ascii="Arial" w:cs="Arial" w:eastAsia="Arial" w:hAnsi="Arial"/>
          <w:sz w:val="16"/>
          <w:szCs w:val="16"/>
          <w:color w:val="auto"/>
        </w:rPr>
      </w:pPr>
    </w:p>
    <w:p>
      <w:pPr>
        <w:ind w:left="660" w:right="180" w:hanging="206"/>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6" w:lineRule="exact"/>
        <w:rPr>
          <w:rFonts w:ascii="Arial" w:cs="Arial" w:eastAsia="Arial" w:hAnsi="Arial"/>
          <w:sz w:val="18"/>
          <w:szCs w:val="18"/>
          <w:color w:val="auto"/>
        </w:rPr>
      </w:pPr>
    </w:p>
    <w:p>
      <w:pPr>
        <w:ind w:left="660" w:right="240" w:hanging="206"/>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and as amended again by the final HIPAA omnibus rule, Modifications to the HIPAA Privacy, Security, Enforcement, and Breach</w:t>
      </w:r>
    </w:p>
    <w:p>
      <w:pPr>
        <w:spacing w:after="0" w:line="29" w:lineRule="exact"/>
        <w:rPr>
          <w:rFonts w:ascii="Arial" w:cs="Arial" w:eastAsia="Arial" w:hAnsi="Arial"/>
          <w:sz w:val="16"/>
          <w:szCs w:val="16"/>
          <w:color w:val="auto"/>
        </w:rPr>
      </w:pPr>
    </w:p>
    <w:p>
      <w:pPr>
        <w:ind w:left="660" w:right="100" w:hanging="206"/>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0" w:lineRule="exact"/>
        <w:rPr>
          <w:rFonts w:ascii="Arial" w:cs="Arial" w:eastAsia="Arial" w:hAnsi="Arial"/>
          <w:sz w:val="17"/>
          <w:szCs w:val="17"/>
          <w:color w:val="auto"/>
        </w:rPr>
      </w:pPr>
    </w:p>
    <w:p>
      <w:pPr>
        <w:jc w:val="both"/>
        <w:ind w:left="660" w:right="60" w:hanging="206"/>
        <w:spacing w:after="0" w:line="30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and teaching hospitals and (ii) ownership and investment interests held by physicians and their immediate family members;</w:t>
      </w:r>
    </w:p>
    <w:p>
      <w:pPr>
        <w:spacing w:after="0" w:line="59" w:lineRule="exact"/>
        <w:rPr>
          <w:rFonts w:ascii="Arial" w:cs="Arial" w:eastAsia="Arial" w:hAnsi="Arial"/>
          <w:sz w:val="16"/>
          <w:szCs w:val="16"/>
          <w:color w:val="auto"/>
        </w:rPr>
      </w:pPr>
    </w:p>
    <w:p>
      <w:pPr>
        <w:ind w:left="660" w:right="220" w:hanging="206"/>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6" w:lineRule="exact"/>
        <w:rPr>
          <w:rFonts w:ascii="Arial" w:cs="Arial" w:eastAsia="Arial" w:hAnsi="Arial"/>
          <w:sz w:val="17"/>
          <w:szCs w:val="17"/>
          <w:color w:val="auto"/>
        </w:rPr>
      </w:pPr>
    </w:p>
    <w:p>
      <w:pPr>
        <w:ind w:left="660" w:right="32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6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w:t>
      </w:r>
    </w:p>
    <w:p>
      <w:pPr>
        <w:spacing w:after="0" w:line="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and expandable systems to comply with multiple jurisdictions with different compliance and/or reporting requirements increases the possibility that a healthcare company may run afoul of one or more of the requirements.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continuity and disaster recovery plans may not adequately protect us from a serious disaster.</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Natural disasters could severely disrupt our operations or the operations of manufacturing facilities and have a material adverse effect on our business, financial condition, results of operations and prospects. If a natural disaster, power outage or other event occurred that prevented us from using all or a significant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portion of our headquarters, that damaged critical infrastructure, such as manufacturing facilities,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third-party manufacturing facility, as well as substantially all of our current supply of KB103 is located in Pittsburgh, Pennsylvania, and we do not have any existing back-up facilities in place or plans for such back-up facilities. We may incur substantial expenses as a result of the limited nature of our disaster recovery and business continuity plans, which could have a material adverse effect on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lead product candidate, KB103, any future product candidates we may develop and our STAR-D platform, or if the scope of the patent protection obtained is not sufficiently broad, our competitors could develop and commercialize products and technology similar or identical to ours, and our ability to successfully commercialize our current product candidate, any future product candidates we may develop and our technology may be adversely affected.</w:t>
      </w:r>
    </w:p>
    <w:p>
      <w:pPr>
        <w:spacing w:after="0" w:line="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currently own any patents. Our success depends, in large part, on our ability to obtain and maintain patent protection in the United States and other countries with respect to both KB103 and future innovations related to our STAR-D platform. The patent prosecution process is expensive, time-consuming and complex, and we may not be able to file, prosecute, maintain, enforce or license all necessary or desirable patent applications at a reasonable cost or in a timely manner. We are actively prosecuting a patent application in front of the U.S. Patent and Trademark Office, or USPTO, directed, in part, to pharmaceutical formulations and methods of treating dystrophic epidermolysis bullosa using our KB103 product. A corresponding international application has also been filed in accordance with the Paris Cooperation treaty. In addition, we are seeking patent protection for key aspects of our viral platform technologies through a second patent application on file at the USPTO. We do not, however, yet know the outcome of these patent applications.</w:t>
      </w:r>
    </w:p>
    <w:p>
      <w:pPr>
        <w:spacing w:after="0" w:line="5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Even if we are granted the patents we are currently pursuing, they may not issue in a form that will provide us with the full scope of protection we desire, they may not prevent competitors or other third parties from competing with us, and/or they may not otherwise provide us with a competitive advantage. Our competitors, or other third parties, may be able to circumvent our patents by developing similar or alternative technologies or products in a non-infringing manner. Even assuming patents issue from our pending and future patent applications, changes in either the patent laws or interpretation of the patent laws in the United States and foreign jurisdictions may diminish the value of our patents, or narrow their scope of protection.</w:t>
      </w:r>
    </w:p>
    <w:p>
      <w:pPr>
        <w:spacing w:after="0" w:line="6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we may not be aware of all third-party intellectual property rights potentially relating to technologies similar to KB103. Publications of discoveries in the scientific literature often lag behind their actual discoveries, and patent applications in the United States and other jurisdictions are typically not published until 18 months after filing or, in some cases, not at all. Therefore, it is impossible to be certain that we were the first to develop the specific technologies as claimed in any owned patents or pending patent applications, or that we were the first to file for patent protection of such inventions.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intellectual property rights in some countries outside the United States may differ in scope from those eventually granted in the United States. Thus, in some cases, we will not have the opportunity to obtain patent protection for certain technologies in some jurisdictions outside the United States. In addition, the laws of some foreign countries do not protect intellectual property rights to the same extent as federal and state laws in the United States. Consequently, we may not be 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prevent third parties from practicing our inventions in all countries outside the United States, even in jurisdictions where we do pursue patent protection.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Such challenges in enforcing rights in these countries could make it difficult for us to stop the infringement of our patents, if pursued and obtained, or marketing of competing products in violation of our proprietary rights generally. Proceedings to enforce our future patent rights in foreign jurisdictions could result in substantial costs and may divert our efforts and attention from other aspects of our business; could put our patents at risk of being invalidated or interpreted narrowly; could put any future patent applications, including continuation and divisional applications, at risk of not issuing; and could provoke third parties to assert claims against us. We may not prevail in any lawsuits that we initiate, and the damages or other remedies awarded, if any, may not be commercially meaningful. Accordingly, our efforts to enforce any intellectual property rights around the world stemming from intellectual property that we develop or license may be inadequate to obtain a significant commercial advantage in these foreign jurisdictions.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depends upon our ability (and the ability of any potential future collaborators) to develop, manufacture, market and sell our product candidates, and to use our proprietary technologies without infringing the rights and intellectual property of others. Many companies and institutions have filed, and continue to file, patent applications related to various aspects of gene therapy. Some of these patent applications have already been allowed or issued, while others may issue in the future. Since the areas of gene delivery and gene therapeutics are competitive and of strong interest to pharmaceutical and biotechnology companies, there will likely be additional patent applications filed, and additional patents granted, in the future, as well as additional gene therapy research and development programs. Furthermore, because patent applications can take many years to issue, may be confidential for 18 months or more after filing, and can be revised before issuance, there may be applications now pending which may later result in issued patents that a third party asserts are infringed by the manufacture, use, sale, or importation of our products.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KB103 or related technologies, including, for example, interference proceedings, post grant review challenges, and inter partes review before the USPTO. Our competitors or other third parties may assert infringement claims against us, alleging that our therapeutics, manufacturing methods, formulations or administration methods are covered by their patents. Moreover, we may face patent infringement claims from non-practicing entities that have no relevant product revenue, and against whom our licensed patent portfolio may therefore have no deterrent effect.</w:t>
      </w:r>
    </w:p>
    <w:p>
      <w:pPr>
        <w:spacing w:after="0" w:line="7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patents or other intellectual property rights against us. Even if we believe such claims are without merit, a court of competent jurisdiction could hold that these third-party patents are valid, enforceable and infringed, which could materially and adversely affect our ability to commercialize KB103. In order to successfully challenge the validity of any such U.S. patent in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In such a hypothetical situation, there is no assurance that a court of competent jurisdiction would find that KB103 or our other product candidates or technologies do not infringe a third-party patent.</w:t>
      </w:r>
    </w:p>
    <w:p>
      <w:pPr>
        <w:spacing w:after="0" w:line="7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outcomes are uncertain. If we are found, or believe there is a risk that we may be found, to infringe a third party’s valid and enforceable intellectual property rights, we could be required (or may choose) to obtain a license from such a third party to continue developing, manufacturing and marketing our technologies. However, we may not be able to obtain any required license on commercially reasonable terms, if at all. Even if we were able to obtain a license, it could be non-exclusive, thereby giving our competitors and other third parties access to the same technologies licensed to us, and further, it could require us to make substantial licensing and royalty payments. We could be forced, including by court order, to cease developing, manufacturing and commercializing the infringing technologies, including KB103. In addition, we could be found liable for monetary damages, including treble damages and attorneys’ fees, if we are found to have willfully infringed a patent or other intellectual property right. A finding of infringement could prevent us from manufacturing and commercializing KB103, or force us to cease some or all of our business operations. Claims that we have misappropriated the confidential information or trade secrets of third parties could have a similar negative impact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Competitors may infringe our patents, should such patents issue, or we may be required to defend against claims of infringement. 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7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Certain of our employees or advisors are currently, or were previously, employed at universities or other biotechnology or pharmaceutical companies, including potential competitors. Although we try to ensure that our employees and advisors do not use the proprietary information or know-how of others 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Moreover, any such litigation, or the threat thereof, may adversely affect our ability to hire new employees or contract with independent contractors. A loss of key personnel or their work product could hamper or prevent our ability to commercialize our technologies, which would have an adverse effect on our business, results of operations, and financial condition. Even if we are successful in defending against such claims, litigation could result in substantial costs and be a distraction to management.</w:t>
      </w:r>
    </w:p>
    <w:p>
      <w:pPr>
        <w:spacing w:after="0" w:line="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of intellectual property to execute agreements assigning such intellectual property rights to us, unforeseen complications may arise when fully and adequately executing such an agreement with each party who, in fact, conceives of intellectual property that we regard as our own. Examples of such complications may include, for example, when we obtain agreements assigning intellectual property to us, the assignment of intellectual property rights may not be self-executing or the assignment agreements may be breached. Such complications may lead to us being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insufficient in fully perfecting ownership of inventions developed by that individual. Disputes about the ownership of intellectual property that we may own may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For example, on September 16, 2011, the Leahy-Smith America Invents Act, or the Leahy-Smith Act, was signed into law. The Leahy-Smith Act included several significant changes to U.S. patent law, including provisions that affected the way patent applications are prosecuted, and altered strategies regarding patent litigation. These provisions also switched the United States from a “first-to-invent” system to a “first-to-file” system, allowed third-party submission of prior art to the USPTO during patent prosecution, and set forth additional procedures to attack the validity of a patent through various post grant proceedings administered by the USPTO. As patent reform legislation can inject serious uncertainty into the patent prosecution and litigation processes, it is not clear what impact future patent reform legislation will have on the operation of our business. However, such future legislation, and its implementation, could increase the uncertainties and costs surrounding the prosecution of our patent applications and the enforcement or defense of any issued patents, all of which could have a material adverse effect on our business, financial condition, results of operations and prospects.</w:t>
      </w:r>
    </w:p>
    <w:p>
      <w:pPr>
        <w:spacing w:after="0" w:line="5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Moreover, the patent positions of companies engaged in the development and commercialization of biologics and pharmaceuticals are particularly uncertain given the ever evolving and constantly shifting nature of precedential patent cases decided by both the U.S. Court of Appeals for the Federal Circuit and the U.S. Supreme Court. For instance, two cases involving diagnostic method claims and “gene patents” have recently been decided by the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nature, a natural phenomenon or a naturally occurring relation or correlation that do not include additional elements or steps that integrate the natural principle into the claimed invention such that the natural principle is practically applied (and thus, the claim amounts to significantly more than the natural principle itself) should be rejected as directed to patent-ineligible subject matter. On June 13, 2013, the Supreme Court issued its decision in Association for Molecular Pathology v. Myriad Genetics, Inc., or Myriad, a case involving patent claims held by Myriad Genetics, Inc. relating to the breast cancer susceptibility genes BRCA1 and BRCA2. In its decision, the US Supreme Court held that an isolated segment of naturally occurring DNA, such as the DNA constituting the BRCA1 or BRCA2 genes, is not patent eligible subject matter; however, complementary DNA may be patent eligible.</w:t>
      </w:r>
    </w:p>
    <w:p>
      <w:pPr>
        <w:spacing w:after="0" w:line="5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the Supreme Court held in Myriad that isolated segments of naturally occurring DNA are not patent-eligible subject matter, certain third parties could allege that potential activities that we undertake in the future may infringe other gene-related patent claims, and we may deem it necessary to defend ourselves against these claims by asserting non-infringement and/or invalidity positions, or paying to obtain a license to these claims. In any situation involving third-party intellectual property rights, such as those directed to gene-related patent claims, if we are unsuccessful in defending against claims of patent infringement (</w:t>
      </w:r>
      <w:r>
        <w:rPr>
          <w:rFonts w:ascii="Arial" w:cs="Arial" w:eastAsia="Arial" w:hAnsi="Arial"/>
          <w:sz w:val="18"/>
          <w:szCs w:val="18"/>
          <w:i w:val="1"/>
          <w:iCs w:val="1"/>
          <w:color w:val="auto"/>
        </w:rPr>
        <w:t>e.g.,</w:t>
      </w:r>
      <w:r>
        <w:rPr>
          <w:rFonts w:ascii="Arial" w:cs="Arial" w:eastAsia="Arial" w:hAnsi="Arial"/>
          <w:sz w:val="18"/>
          <w:szCs w:val="18"/>
          <w:color w:val="auto"/>
        </w:rPr>
        <w:t xml:space="preserve"> by asserting invalidity of the infringed patent in view of the Supreme Court’s Myriad decision), we could be forced to pay damages or be subjected to an injunction that would prevent us from utilizing the patented subject matter. Such outcomes could harm our business, financial condition, results of operations or prospects.</w:t>
      </w:r>
    </w:p>
    <w:p>
      <w:pPr>
        <w:spacing w:after="0" w:line="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Moreover, we cannot assure you that our efforts to seek patent protection for our technology and product candidates will not be negatively impacted by the decisions described above, rulings in other cases, or changes in guidance or procedures issued by the USPTO. These decisions, the guidance issued by the USPTO (or changes thereto), and rulings in other cases could have a material adverse effect on our existing patent portfolio and our ability to protect and enforce our intellectual property rights in the future.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currently in the process of registering our trademarks and trade names.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660" w:right="2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may own or license in the future;</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develop the specific technologies covered by the issued patents or pending patent applications that we may own or license in the future;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aspects of the concerned technologies;</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potentially without falling within the scope of our future issued claims, thus not infringing our intellectual property rights;</w:t>
      </w:r>
    </w:p>
    <w:p>
      <w:pPr>
        <w:spacing w:after="0" w:line="75" w:lineRule="exact"/>
        <w:rPr>
          <w:rFonts w:ascii="Arial" w:cs="Arial" w:eastAsia="Arial" w:hAnsi="Arial"/>
          <w:sz w:val="18"/>
          <w:szCs w:val="18"/>
          <w:color w:val="auto"/>
        </w:rPr>
      </w:pPr>
    </w:p>
    <w:p>
      <w:pPr>
        <w:ind w:left="660" w:right="340" w:hanging="20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filed or future patent applications will not lead to issued patents;</w:t>
      </w:r>
    </w:p>
    <w:p>
      <w:pPr>
        <w:spacing w:after="0" w:line="130" w:lineRule="exact"/>
        <w:rPr>
          <w:rFonts w:ascii="Arial" w:cs="Arial" w:eastAsia="Arial" w:hAnsi="Arial"/>
          <w:sz w:val="18"/>
          <w:szCs w:val="18"/>
          <w:color w:val="auto"/>
        </w:rPr>
      </w:pPr>
    </w:p>
    <w:p>
      <w:pPr>
        <w:ind w:left="660" w:right="88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to which we hold rights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have access to any future intellectual property rights licensed to us on a non-exclusive basis;</w:t>
      </w:r>
    </w:p>
    <w:p>
      <w:pPr>
        <w:spacing w:after="0" w:line="130" w:lineRule="exact"/>
        <w:rPr>
          <w:rFonts w:ascii="Arial" w:cs="Arial" w:eastAsia="Arial" w:hAnsi="Arial"/>
          <w:sz w:val="18"/>
          <w:szCs w:val="18"/>
          <w:color w:val="auto"/>
        </w:rPr>
      </w:pPr>
    </w:p>
    <w:p>
      <w:pPr>
        <w:ind w:left="660" w:right="460" w:hanging="20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or pursue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After this offering, our Chief Executive Officer and Chairman of the Board of Directors and our founder, Chief Operating Officer and director will maintain the ability to substantially influence all matters submitted to stockholders for approval.</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Upon completion of this offering, assuming the sale by us of all of the shares set forth on the cover page of this prospectus (other than shares subject to the underwriter’s option to purchase additional shares) Krish S. Krishnan and Suma M. Krishnan, our Chief Executive Officer and Chairman of the Board and our founder, Chief Operating Officer and director, respectively, will, in the aggregate, beneficially own shares representing approximately 43.6% of our capital stock and may beneficially own a greater percentage if Mr. Krishnan or Ms. Krishnan purchase additional shares of our common stock in this offering. As a result, they will be able to substantially influence all matters submitted to our stockholders for approval, as well as our management and affairs. For example, these persons would substantially influence the election of directors and approval of any merger, consolidation or sale of all or substantially all of our assets. This concentration of voting power could delay or prevent an acquisition of our company on terms that other stockholders may desire or result in management of our company that our public stockholders disagree with.</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holders of a large number of shares intend to sell shares, could reduce the market price of our common stock. After this offering, we will have outstanding 8,683,247 shares of common stock based on the number of shares outstanding as of August 31, 2017, all of which may be resold in the public market immediately without restriction, other than shares owned by our affiliates, which may be sold pursuant to Rule 144. However, the resale of an aggregate of 5,683,247 shares will be restricted as a result of lock-up agreements executed in conjunction with this offering, as described in the “Shares Eligible for Future Sale” and “Underwriting” sections of this prospectus. We will register all shares of common stock that we may issue under our equity compensation plans on a Registration Statement on Form S-8. These shares can be freely sold in the public market upon issuance, subject to volume limitations applicable to affiliates and the lock-up agreements described in the “Shares Eligible for Future Sale” section of this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outstanding options are exercised, you will incur further dilution. Based on the assumed public offering price of $10.00 per share, which is the midpoint of the price range set forth on the cover page of this prospectus, you will experience immediate dilution of $5.64 per share, representing the difference between the assumed public offering price and our as adjusted net tangible book value per share of $4.36 after giving effect to this offering. See “Dilution.”</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securities analysts do not commence coverage of us, the trading price of our stock could decrease.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6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offering price for the shares of our common stock sold in this offering will be determined by negotiation between the representatives of the underwriters and us. This price may not reflect the market price of our common stock following this offering. In addition, the market price of our common stock is likely to be highly volatile due to many factors, including:</w:t>
      </w:r>
    </w:p>
    <w:p>
      <w:pPr>
        <w:spacing w:after="0" w:line="8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proceed to and conduct clinical trials;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5620" w:right="3740" w:hanging="5166"/>
        <w:spacing w:after="0" w:line="449"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obtain or delays in obtaining adequate product supply for any approved product or inability to do so at acceptable prices;</w:t>
      </w:r>
    </w:p>
    <w:p>
      <w:pPr>
        <w:spacing w:after="0" w:line="130"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An active trading market for our common stock may not develop and you may not be able to resell your shares at or above the initial public offering price.</w:t>
      </w:r>
    </w:p>
    <w:p>
      <w:pPr>
        <w:spacing w:after="0" w:line="15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this offering, there has been no public market for shares of our common stock. Although we have applied to list our common stock on the NASDAQ Capital Market,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 Furthermore, 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To the extent these members of management purchase shares in this offering, fewer shares may be actively traded in the public market, which would reduce the liquidity of the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not use them effectively.</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KB103, KB104 and any other product candidates we may develop. Pending their use, we may invest our cash, including the net proceeds from this offering, in a manner that does not produce income or that loses value. See “Use of Proceeds.”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KB103.</w:t>
      </w:r>
    </w:p>
    <w:p>
      <w:pPr>
        <w:spacing w:after="0" w:line="6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collaborations and licensing arrangements.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KB103, or grant licenses on terms unfavorable to us.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and relief from various reporting requirements that are applicable to other public companies that are not “emerging growth companies.” In particular, while we are an “emerging growth company: (i) we will not be required to comply with the auditor attestation requirements of Section 404(b) of the Sarbanes-Oxley Act; (ii) we will be exempt from any rules that may be adopted by the Public Company Accounting Oversight Board requiring mandatory audit firm rotations or a supplement to the auditor’s report on financial statements; (iii) we will be subject to reduced disclosure obligations regarding executive compensation in our periodic reports and proxy statements; and (iv) we will not be required to hold nonbinding advisory votes on executive compensation or stockholder approval of any golden parachute payments not previously approved.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taken advantage of reduced reporting burdens in this prospectus. In particular, we have not included all of the executive compensation information that would be required if we were not an emerging growth company.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7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smaller reporting public company, and our management will be required to devote substantial time to new compliance initiatives.</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smaller reporting public company, and particularly after we are no longer an emerging growth company,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difficult and more expensive for us to obtain director and officer liability insurance.</w:t>
      </w:r>
    </w:p>
    <w:p>
      <w:pPr>
        <w:spacing w:after="0" w:line="5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9"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660" w:right="56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660" w:right="76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the approval of the holders of at least 80% of the votes that all our stockholders would be entitled to cast to amend or repeal certain provisions of our bylaws.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Forward-looking statements include information concerning our strategy, future operations, future financial position, future revenue, projected expenses, prospects and plans and objectives of management. Forward-looking statements include all statements that are not historical facts and can be identified by terms such as “anticipate,” “believe,” “continue,” “could,” “estimate,” “expect,” “intend,” “may,” “plan,” “potential,” “predict, “project,” “seek,” “should,” “target,” “will,” “would” or similar expressions and the negatives of those terms.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 the following:</w:t>
      </w:r>
    </w:p>
    <w:p>
      <w:pPr>
        <w:spacing w:after="0" w:line="131" w:lineRule="exact"/>
        <w:rPr>
          <w:sz w:val="20"/>
          <w:szCs w:val="20"/>
          <w:color w:val="auto"/>
        </w:rPr>
      </w:pPr>
    </w:p>
    <w:p>
      <w:pPr>
        <w:ind w:left="660" w:right="180" w:hanging="206"/>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timing, progress and results of preclinical and clinical trials for KB103 and any other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scope or results of regulatory filings and approvals, including timing of final FDA marketing and other regulatory approval of KB103;</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achieve certain accelerated or orphan drug designations from the FDA;</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research and development programs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and ability to successfully develop and commercialize our product candidates, including KB103 and KB104;</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identify and develop new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 candidates and technology;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scalability and commercial viability of our proprietary manufacturing methods and processes;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and gene therapy, in general;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protect and enforce our intellectual property;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or ability to obtain additional financing;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are subject to a number of risks, uncertainties and assumptions, including those described in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prospectus. You should read this prospectus and the documents that we have filed as exhibits to the registration statement, of which this prospectus is a part, completely and with the understanding that our actual future results may be materially different from what we expect.</w:t>
      </w:r>
    </w:p>
    <w:p>
      <w:pPr>
        <w:spacing w:after="0" w:line="74"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obtained the industry, statistical and market data in this prospectus from our own internal estimates and research, as well as from industry and general publications and research, surveys and studies conducted by third parties. In presenting this information, we have made assumptions based on such data and other similar sources, and on our knowledge of, and our experience to date in, the potential markets for our product candidates. Although we believe the data from these third-party sources is reliable, we have not independently verified any third-party information. The industry in which we operate is subject to a high degree of uncertainty and risk due to a variety of factors, including those described in the section entitled “Risk Factors.” These and other factors could cause results to differ materially from those expressed in the estimates made by third parties and by us.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the net proceeds from our issuance and sale of 3,000,000 shares of our common stock in this offering will be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$26.5 million (or $30.7 million if the underwriters exercise in full their option to purchase additional shares), assuming an initial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the midpoint of the price range set forth on the cover page of this prospectus, and after deducting estimated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estimated offering expenses payable by us.</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$1.00 increase (decrease) in the assumed initial public offering price of $10.00 per share, the midpoint of the price range set forth on the cover page of this prospectus, would increase (decrease) the net proceeds to us from this offering by approximately $2.8 million, assuming that the number of shares offered by us, as set forth on the cover page of this prospectus, remains the same, and after deducting the underwriting discounts and commissions and estimated offering expenses payable by us. Similarly, each 1.0 million increase (decrease) in the number of shares offered by us, as set forth on the cover of this prospectus, would increase (decrease) the net proceeds to us by $9.3 million, assuming the assumed initial public offering price per share remains the same, and after deducting the underwriting discounts and commissions and estimated offering expenses payable by us.</w:t>
      </w:r>
    </w:p>
    <w:p>
      <w:pPr>
        <w:spacing w:after="0" w:line="5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August 31, 2017, we had cash of approximately $10.8 million. We intend to use the net proceeds from this offering, together with our existing cash, as follows:</w:t>
      </w:r>
    </w:p>
    <w:p>
      <w:pPr>
        <w:spacing w:after="0" w:line="76" w:lineRule="exact"/>
        <w:rPr>
          <w:sz w:val="20"/>
          <w:szCs w:val="20"/>
          <w:color w:val="auto"/>
        </w:rPr>
      </w:pPr>
    </w:p>
    <w:p>
      <w:pPr>
        <w:ind w:left="660" w:right="6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$10.0 million to advance preclinical development, IND submission and completion of Phase 1/2 study of KB103 for the treatment of DEB through the first half of 2018;</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$4.0 million to advance the development of KB104, our second pipeline compound being developed to treat Netherton Syndrome through the submission of an IND during the second half of 2018;</w:t>
      </w:r>
    </w:p>
    <w:p>
      <w:pPr>
        <w:spacing w:after="0" w:line="75" w:lineRule="exact"/>
        <w:rPr>
          <w:rFonts w:ascii="Arial" w:cs="Arial" w:eastAsia="Arial" w:hAnsi="Arial"/>
          <w:sz w:val="18"/>
          <w:szCs w:val="18"/>
          <w:color w:val="auto"/>
        </w:rPr>
      </w:pPr>
    </w:p>
    <w:p>
      <w:pPr>
        <w:ind w:left="660" w:right="100" w:hanging="206"/>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Approximately $2.0 million to begin research activities on our STAR-D platform to develop treatments for STAR-D platform to the development of treatments for broader dermatological indications like psoriasis, atopic dermatitis and chronic wound healing through the end of 2018;</w:t>
      </w:r>
    </w:p>
    <w:p>
      <w:pPr>
        <w:spacing w:after="0" w:line="29" w:lineRule="exact"/>
        <w:rPr>
          <w:rFonts w:ascii="Arial" w:cs="Arial" w:eastAsia="Arial" w:hAnsi="Arial"/>
          <w:sz w:val="16"/>
          <w:szCs w:val="16"/>
          <w:color w:val="auto"/>
        </w:rPr>
      </w:pPr>
    </w:p>
    <w:p>
      <w:pPr>
        <w:ind w:left="660" w:right="14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$15.0 million to design and build a current good manufacturing practices certified manufacturing facility for scale-up production of our pipeline compounds;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balance for general corporate purposes, including general and administrative expenses and working capital.</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believe that our current cash, along with the net proceeds from this offering, will be sufficient for us to fund our operating expenses and capital expenditure requirements for the next 21 to 24 months.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expected net proceeds of this offering will not be sufficient for us to fund any of our product candidates, including KB103, through regulatory approval, and we will need to raise substantial additional capital to complete the development and commercialization of our product candidates, as well as to establish an in-house manufacturing facility.</w:t>
      </w:r>
    </w:p>
    <w:p>
      <w:pPr>
        <w:spacing w:after="0" w:line="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preclinical and clinical trials and other development and commercialization efforts for KB103 and our other product candidates, as well as the amount of cash used in our operations. Although we have no present intention or commitment to do so, we may use a portion of the net proceeds for the acquisition of, or investment in, technologies, intellectual property or businesses that complement our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may find it necessary or advisable to use the net proceeds for other purposes, and our management will retain broad discretion over the allocation of the net proceeds of this offering.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June 30, 2017:</w:t>
      </w:r>
    </w:p>
    <w:p>
      <w:pPr>
        <w:spacing w:after="0" w:line="131"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660" w:right="20" w:hanging="206"/>
        <w:spacing w:after="0" w:line="27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pro forma basis to give effect to: (i) 130,590 shares of common stock issued to an entity owned and controlled by Daniel S. Janney, a member of our board of directors, in August 2017; (ii) the automatic conversion of all outstanding shares of our preferred stock on a one-to-one basis into an aggregate of 2,061,773 shares of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and (iii) the 1-to-4.5 forward stock split, in the form of a dividend, which will occur prior to the effectiveness of this registration statement; and</w:t>
      </w:r>
    </w:p>
    <w:p>
      <w:pPr>
        <w:spacing w:after="0" w:line="83" w:lineRule="exact"/>
        <w:rPr>
          <w:rFonts w:ascii="Arial" w:cs="Arial" w:eastAsia="Arial" w:hAnsi="Arial"/>
          <w:sz w:val="17"/>
          <w:szCs w:val="17"/>
          <w:color w:val="auto"/>
        </w:rPr>
      </w:pPr>
    </w:p>
    <w:p>
      <w:pPr>
        <w:ind w:left="660" w:hanging="206"/>
        <w:spacing w:after="0" w:line="279"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our issuance and sale of 3,000,000 shares of common stock in this offering at an assumed public offering price of $10.00 per share, the midpoint of the price range set forth on the cover page of this prospectus, after deducting the estimated underwriting discounts and commissions and estimated offering expenses payable by us and excluding any additional shares of common stock that may be issuable upon the exercise of the underwriters’ option to purchase additional shares.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information together with our financial statements and the related notes thereto and the information set forth under the headings “Selected Financial Information” and “Management’s Discussion and Analysis of Financial Condition and Results of Operations” appearing elsewhere in this prospectus.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5"/>
                <w:szCs w:val="15"/>
                <w:b w:val="1"/>
                <w:bCs w:val="1"/>
                <w:color w:val="auto"/>
              </w:rPr>
              <w:t>As of June 30, 2017</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0"/>
                <w:szCs w:val="10"/>
                <w:color w:val="auto"/>
              </w:rPr>
            </w:pPr>
          </w:p>
        </w:tc>
        <w:tc>
          <w:tcPr>
            <w:tcW w:w="9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Actual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56"/>
        </w:trPr>
        <w:tc>
          <w:tcPr>
            <w:tcW w:w="3220" w:type="dxa"/>
            <w:vAlign w:val="bottom"/>
            <w:tcBorders>
              <w:top w:val="single" w:sz="8" w:color="auto"/>
            </w:tcBorders>
            <w:shd w:val="clear" w:color="auto" w:fill="CCEEFF"/>
          </w:tcPr>
          <w:p>
            <w:pPr>
              <w:spacing w:after="0"/>
              <w:rPr>
                <w:sz w:val="13"/>
                <w:szCs w:val="13"/>
                <w:color w:val="auto"/>
              </w:rPr>
            </w:pPr>
          </w:p>
        </w:tc>
        <w:tc>
          <w:tcPr>
            <w:tcW w:w="4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0"/>
              </w:rPr>
              <w:t>(unaudited)</w:t>
            </w:r>
          </w:p>
        </w:tc>
        <w:tc>
          <w:tcPr>
            <w:tcW w:w="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w w:val="97"/>
              </w:rPr>
              <w:t>(unaudited)</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11,518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Related party convertible promissory notes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1,698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Convertible promissory notes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ind w:left="720"/>
              <w:spacing w:after="0"/>
              <w:rPr>
                <w:sz w:val="20"/>
                <w:szCs w:val="20"/>
                <w:color w:val="auto"/>
              </w:rPr>
            </w:pPr>
            <w:r>
              <w:rPr>
                <w:rFonts w:ascii="Arial" w:cs="Arial" w:eastAsia="Arial" w:hAnsi="Arial"/>
                <w:sz w:val="18"/>
                <w:szCs w:val="18"/>
                <w:color w:val="auto"/>
              </w:rPr>
              <w:t>Total convertible promissory notes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Convertible preferred stock, $0.00001 par value; 100,000 shares authorized,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Arial" w:cs="Arial" w:eastAsia="Arial" w:hAnsi="Arial"/>
                <w:sz w:val="18"/>
                <w:szCs w:val="18"/>
                <w:color w:val="auto"/>
                <w:w w:val="99"/>
              </w:rPr>
              <w:t>179,613 shares issued and outstanding at June 30, 2017, no shares authorized, issued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60" w:type="dxa"/>
            <w:vAlign w:val="bottom"/>
            <w:gridSpan w:val="2"/>
          </w:tcPr>
          <w:p>
            <w:pPr>
              <w:ind w:left="540"/>
              <w:spacing w:after="0"/>
              <w:rPr>
                <w:sz w:val="20"/>
                <w:szCs w:val="20"/>
                <w:color w:val="auto"/>
              </w:rPr>
            </w:pPr>
            <w:r>
              <w:rPr>
                <w:rFonts w:ascii="Arial" w:cs="Arial" w:eastAsia="Arial" w:hAnsi="Arial"/>
                <w:sz w:val="18"/>
                <w:szCs w:val="18"/>
                <w:color w:val="auto"/>
              </w:rPr>
              <w:t>and outstanding pro forma or pro forma as adjusted (unaudited)</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convertible preferred stock</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$0.00001 par value; 80,000,000 shares authorized, 3,490,884 shares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at June 30, 2017, and 80,000,000 shares authorized,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5,683,247 shares issued and outstanding pro forma, and 80,000,000 shares authorized,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8,683,247 shares issued and outstanding pro forma as adjusted (unaudited)</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Preferred stock; $0.00001 par value; no shares authorized, no shares issued and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Arial" w:cs="Arial" w:eastAsia="Arial" w:hAnsi="Arial"/>
                <w:sz w:val="18"/>
                <w:szCs w:val="18"/>
                <w:color w:val="auto"/>
              </w:rPr>
              <w:t>outstanding at June 30, 2017, and no shares authorized, no shares issued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540"/>
              <w:spacing w:after="0"/>
              <w:rPr>
                <w:sz w:val="20"/>
                <w:szCs w:val="20"/>
                <w:color w:val="auto"/>
              </w:rPr>
            </w:pPr>
            <w:r>
              <w:rPr>
                <w:rFonts w:ascii="Arial" w:cs="Arial" w:eastAsia="Arial" w:hAnsi="Arial"/>
                <w:sz w:val="18"/>
                <w:szCs w:val="18"/>
                <w:color w:val="auto"/>
              </w:rPr>
              <w:t>outstanding pro forma, and 20,000,000 shares authorized, no shares issued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540"/>
              <w:spacing w:after="0"/>
              <w:rPr>
                <w:sz w:val="20"/>
                <w:szCs w:val="20"/>
                <w:color w:val="auto"/>
              </w:rPr>
            </w:pPr>
            <w:r>
              <w:rPr>
                <w:rFonts w:ascii="Arial" w:cs="Arial" w:eastAsia="Arial" w:hAnsi="Arial"/>
                <w:sz w:val="18"/>
                <w:szCs w:val="18"/>
                <w:color w:val="auto"/>
              </w:rPr>
              <w:t>outstanding pro forma as adjusted (unaudited)</w:t>
            </w:r>
          </w:p>
        </w:tc>
        <w:tc>
          <w:tcPr>
            <w:tcW w:w="10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16,929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(2,403)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11,393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37,858</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340" w:right="20" w:hanging="332"/>
        <w:spacing w:after="0" w:line="272"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$10.00 per share, the midpoint of the price range set forth on the cover page of this prospectus, would increase (decrease) each of cash, additional paid-in capital, total stockholders’ (deficit) equity and total capitalization by approximately $2.8 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1,000,000 in the number of shares we are offering would increase (decrease) cash, additional paid-in capital, total stockholders’ (deficit) equity and total capitalization by approximately $9.3 million, assuming the assumed initial public offering price remains the same, and after deducting estimated underwriting discounts and commissions and estimated offering expenses payable by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w:t>
      </w:r>
    </w:p>
    <w:p>
      <w:pPr>
        <w:spacing w:after="0" w:line="131" w:lineRule="exact"/>
        <w:rPr>
          <w:sz w:val="20"/>
          <w:szCs w:val="20"/>
          <w:color w:val="auto"/>
        </w:rPr>
      </w:pPr>
    </w:p>
    <w:p>
      <w:pPr>
        <w:ind w:left="6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159,633 shares of our common stock issuable upon the exercise of options outstanding as of June 30, 2017, with a weighted average exercise price of $3.21 per share;</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18,949 shares of our common stock issuable upon the exercise of options granted after June 30, 2017 through August 15, 2017, with an exercise price of $7.66 per share;</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75"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900,000 shares of common stock reserved for future issuance under our Krystal Biotech, Inc. 2017 IPO Stock Incentive Plan, which will become effective upon the completion of this offering, and any future increase in shares reserved for issuance under such plan.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you invest in our common stock, your ownership interest will be immediately diluted to the extent of the difference between the initial public offering price per share of our common stock and the pro forma as adjusted net tangible book value per share of our common stock immediately after this offering. Net tangible book value dilution per share represents the difference between the amount per share paid by purchasers of shares of common stock in this offering and the pro forma as adjusted net tangible book value per share of common stock immediately after the completion of this offering.</w:t>
      </w:r>
    </w:p>
    <w:p>
      <w:pPr>
        <w:spacing w:after="0" w:line="4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of June 30, 2017, our net tangible book value was approximately $(2,522) thousand, or $(0.72) per share of common stock. Net tangible book value per share represents the amount of our tangible assets less our liabilities and preferred stock, which is not included in equity, divided by the total number of shares of our common stock outstanding as of June 30, 2017. Our net tangible book value calculation excludes intangible assets and deferred tax liability associated with intangible assets. Our pro forma net tangible book value as of June 30, 2017 was $11.1 million, or $1.95 per share, based on the total number of shares of our common stock outstanding as of June 30, 2017, after giving effect to: (i) 130,590 shares of common stock issued to an entity owned and controlled by Daniel S. Janney, a member of our board of directors, in August 2017; (ii) the automatic conversion of all outstanding shares of our preferred stock on a one-to-one basis into an aggregate of 2,061,773 shares of common stock immediately prior to the completion of this offering, which includes 179,613 shares of our Series Seed preferred stock, 968,053 shares of preferred stock we issued in August 2017 upon conversion of our outstanding convertible promissory notes and accrued interest thereon, and 914,107 shares of Series A Preferred issued to Sun Pharma in August 2017; and (iii) the 1-to-4.5 forward stock split, in the form of a dividend, which will occur prior to the effectiveness of this registration statement.</w:t>
      </w:r>
    </w:p>
    <w:p>
      <w:pPr>
        <w:spacing w:after="0" w:line="6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After giving effect to the sale of 3,000,000 shares of common stock in this offering at an assumed initial public offering price of $10.00 per share, the midpoint of the price range set forth on the cover page of this prospectus, and after deducting the underwriting discounts and commissions and estimated offering expenses payable by us, our pro forma as adjusted net tangible book value as of June 30, 2017 would have been $37.9 million, or $4.36 per share. This represents an immediate increase in pro forma as adjusted net tangible book value of $2.41 per share to our existing stockholders and an immediate dilution of $5.64 per share to new investors participating in this offering.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as of June 30, 2017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(0.72)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 forma increase per share attributable to the pro forma transactions and other adjustments described above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June 30, 2017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5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Each $1.00 increase (decrease) in the assumed initial public offering price of $10.00, the midpoint of the price range set forth on the cover page of this prospectus, would increase our pro forma as adjusted net tangible book value per share after this offering by $0.32 per share and the dilution per share to new investors participating in this offering by $0.68 per share, assuming that the number of shares offered by us, as set forth on the cover page of this prospectus, remains the same, and after deducting underwriting discounts and commissions and estimated offering expenses payable by us. Similarly, each 1.0 million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increase (decrease) in the number of shares offered by us would increase (decrease) the pro forma as adjusted net tangible book value per share after this offering by $0.51 per share and the dilution per share to new investors participating in this offering by $(0.51) per share, assuming that the assumed initial public offering price remains the same, and after deducting underwriting discounts and commissions and estimated offering expenses payable by us.</w:t>
      </w:r>
    </w:p>
    <w:p>
      <w:pPr>
        <w:spacing w:after="0" w:line="3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the underwriters exercise in full their option to purchase up to 450,000 additional shares of common stock to cover over-allotments, if any, the pro forma as adjusted net tangible book value per share after giving effect to this offering would be $4.60 per share, representing an immediate increase (decrease) to existing stockholders of $0.24 per share and immediate dilution to new investors participating in this offering of $(0.24) per share assuming that the assumed initial public offering price remains the same, and after deducting underwriting discounts and commissions and estimated offering expenses payable by us.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any outstanding options to purchase common stock are exercised, new investors would experience further dilution.</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following table summarizes, on a pro forma as adjusted basis as of June 30, 2017, the differences between the number of shares of common stock purchased from us, the total cash consideration and the average price per share paid to us by existing stockholders and by new investors purchasing shares in this offering, at an assumed initial public offering price of $10.00 per share, the midpoint of the price range set forth on the cover page of this prospectus, before deducting estimated underwriting discounts and commissions and estimated offering expenses payable by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Pr>
          <w:p>
            <w:pPr>
              <w:spacing w:after="0"/>
              <w:rPr>
                <w:sz w:val="14"/>
                <w:szCs w:val="14"/>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Total Consideration</w:t>
            </w:r>
          </w:p>
        </w:tc>
        <w:tc>
          <w:tcPr>
            <w:tcW w:w="3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5,683,247</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65.45%</w:t>
            </w:r>
          </w:p>
        </w:tc>
        <w:tc>
          <w:tcPr>
            <w:tcW w:w="17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$16,929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3,000,000</w:t>
            </w:r>
          </w:p>
        </w:tc>
        <w:tc>
          <w:tcPr>
            <w:tcW w:w="74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34.55%</w:t>
            </w:r>
          </w:p>
        </w:tc>
        <w:tc>
          <w:tcPr>
            <w:tcW w:w="1700" w:type="dxa"/>
            <w:vAlign w:val="bottom"/>
            <w:gridSpan w:val="3"/>
          </w:tcPr>
          <w:p>
            <w:pPr>
              <w:jc w:val="right"/>
              <w:ind w:right="740"/>
              <w:spacing w:after="0"/>
              <w:rPr>
                <w:sz w:val="20"/>
                <w:szCs w:val="20"/>
                <w:color w:val="auto"/>
              </w:rPr>
            </w:pPr>
            <w:r>
              <w:rPr>
                <w:rFonts w:ascii="Arial" w:cs="Arial" w:eastAsia="Arial" w:hAnsi="Arial"/>
                <w:sz w:val="18"/>
                <w:szCs w:val="18"/>
                <w:color w:val="auto"/>
              </w:rPr>
              <w:t>30,000</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63.93%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8,683,247</w:t>
            </w: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7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46,929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If the underwriters exercise their option to purchase additional shares in full, the number of shares of common stock held by existing stockholders will be reduced to 62.23% of the total number of shares of common stock to be outstanding after this offering, and the number of shares of common stock held by investors participating in this offering will be further increased to 37.77% of the total number of shares of common stock to be outstanding after this offering.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660" w:right="14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159,633 shares of our common stock issuable upon the exercise of options outstanding on June 30, 2017, with a weighted-average exercise price of $3.21 per share;</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18,949 shares of our common stock issuable upon the exercise of options granted after June 30, 2017 through August 15, 2017, with an exercise price of $7.66 per share;</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14,468 shares of common stock reserved for future issuance under our Krystal Biotech, Inc. 2017 Stock Incentive Plan as of August 15, 2017, and any future increase in shares reserved for issuance under such plan; and</w:t>
      </w:r>
    </w:p>
    <w:p>
      <w:pPr>
        <w:spacing w:after="0" w:line="75" w:lineRule="exact"/>
        <w:rPr>
          <w:rFonts w:ascii="Arial" w:cs="Arial" w:eastAsia="Arial" w:hAnsi="Arial"/>
          <w:sz w:val="18"/>
          <w:szCs w:val="18"/>
          <w:color w:val="auto"/>
        </w:rPr>
      </w:pPr>
    </w:p>
    <w:p>
      <w:pPr>
        <w:ind w:left="660" w:right="320" w:hanging="206"/>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900,000 shares of common stock reserved for future issuance under our Krystal Biotech, Inc. 2017 IPO Stock Incentive Plan, which will become effective upon the completion of this offering, and any future increase in shares reserved for issuance under such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selected statements of operation data for the year ended December 31, 2016 has been derived from our audited financial statements appearing elsewhere in this prospectus. The selected financial data as of June 30, 2017 and for the six months ended June 30, 2016 and 2017 have been derived from our unaudited financial statements included elsewhere in this prospectus. The unaudited financial statements have been prepared on a basis consistent with our audited financial statements and, in the opinion of our management,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“Risk Factors,” “Capitalization,” and “Management’s Discussion and Analysis of Financial Condition and Results of Operations.” Our historical results are not necessarily indicative of our future results, and our operating results for the six-month period ended June 30, 2017 are not necessarily indicative of the results that may be expected for the fiscal year ending December 31, 2017 or any other interim periods or any future year or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 data)</w:t>
            </w:r>
          </w:p>
        </w:tc>
        <w:tc>
          <w:tcPr>
            <w:tcW w:w="2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6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loss applicable to stockholders and members</w:t>
            </w:r>
          </w:p>
        </w:tc>
        <w:tc>
          <w:tcPr>
            <w:tcW w:w="2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6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8"/>
              <w:spacing w:after="0"/>
              <w:rPr>
                <w:sz w:val="20"/>
                <w:szCs w:val="20"/>
                <w:color w:val="auto"/>
              </w:rPr>
            </w:pPr>
            <w:r>
              <w:rPr>
                <w:rFonts w:ascii="Arial" w:cs="Arial" w:eastAsia="Arial" w:hAnsi="Arial"/>
                <w:sz w:val="18"/>
                <w:szCs w:val="18"/>
                <w:color w:val="auto"/>
              </w:rPr>
              <w:t>(447.03)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and common units outstanding</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877,490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3,490,884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right="968"/>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right="70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8"/>
                <w:szCs w:val="18"/>
                <w:color w:val="auto"/>
              </w:rPr>
              <w:t>1,923</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2,126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8"/>
                <w:szCs w:val="18"/>
                <w:color w:val="auto"/>
              </w:rPr>
              <w:t>2,182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Related party promissory notes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8"/>
                <w:szCs w:val="18"/>
                <w:color w:val="auto"/>
              </w:rPr>
              <w:t>698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1,893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Convertible preferred units and preferred stock</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8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and members’ equity (deficit)</w:t>
            </w: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289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2400" w:type="dxa"/>
            <w:vAlign w:val="bottom"/>
          </w:tcPr>
          <w:p>
            <w:pPr>
              <w:jc w:val="right"/>
              <w:ind w:right="169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appearing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an engineered patent pending viral vector based on herpes simplex virus 1, or HSV-1, and skin-optimized gene transfer technology, to develop off-the-shelf treatments for dermatological diseases for which we believe there are no known effective treatments. We are initially using our STAR-D platform to develop treatments for rare or orphan dermatological indications caused by the absence of or a mutation in a single gene, and plan to leverage our platform in the future to expand our pipeline to include other dermatological indications.</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to the epidermis. In DEB patients, the genetic defect in COL7A1 results in loss or malfunctioning of these anchoring fibrils, leading to extremely fragile skin that blisters and tears from minor friction or trauma. Those who are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3,200 to 3,500 diagnosed DEB patients in the European Union, United States, Japan and Canada.</w:t>
      </w:r>
    </w:p>
    <w:p>
      <w:pPr>
        <w:spacing w:after="0" w:line="7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Our company was organized in December 2015 in the State of California and commenced operations on April 15, 2016. On March 31, 2017, we converted from a California limited liability company to a Delaware C-corporation, and changed our name from Krystal Biotech, LLC to Krystal Biotech, Inc. To date, our operations have been limited to organizing and staffing our company, developing our proprietary STAR-D platform, identifying potential product candidates and undertaking preclinical studies and preparing for clinical trials of our product candidates. We have primarily financed our operations through the issuance of our equity securities and debt financings. At June 30, 2017, we had received $1.4 million in gross proceeds from the issuance of equity securities and $4.1 million in gross proceeds from debt financings. At June 30, 2017, our cash was approximately $3.5 million.</w:t>
      </w:r>
    </w:p>
    <w:p>
      <w:pPr>
        <w:spacing w:after="0" w:line="5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Since operations began, we have incurred operating losses. Our net losses were $1.2 million, $201 thousand and $1.3 million for the year ended December 31, 2016 and the six months ended June 30, 2016 and 2017, respectively. At June 30, 2017, we had accumulated a deficit of $2.4 million. We expect to incur significant expenses and increasing operating losses for the foreseeable future. Our net losses may fluctuate significantly from quarter to quarter and year to year. We will need to generate significant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 to achieve profitability, and we may never generate revenue or enough revenue to achieve profitability.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Costs related to clinical trials can be unpredictable and therefore there can be no guarantee that the net proceeds from this offering and from these other sources will be sufficient to fund our planned preclinical and clinical studies or our operations through this period. These funds may not be sufficient to enable us to conduct pivotal clinical trials for, seek marketing approval for or commercially launch KB103 or any other product candidate. Accordingly, to obtain marketing approval for and to commercialize this or any other product candidates, we may be required to obtain further funding through public or private equity offerings, debt financings, collaboration and licensing arrangements or other sources. Adequate additional financing may not be available to us on acceptable terms, or at all. Our failure to raise capital when needed would have a negative effect on our financial condition and our ability to pursue our business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results of operations contained within this Management’s Discussion and Analysis do not contain comparative results to the year ended December 31, 2016 because we did not exist as a legal entity prior to December 20,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have no approved products for commercial marketing or sale and have not generated any revenue from the sale of products or other sources to date. In the future, we may generate revenue from product sales, royalties on product sales, or license fees, milestones, or other upfront payments if we enter into any collaborations or license agreements. We expect that our future revenue will fluctuate from quarter to quarter for many reasons, including the uncertain timing and amount of any such payments and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 primarily of costs incurred to advance our preclinical and clinical candidates, which include:</w:t>
      </w:r>
    </w:p>
    <w:p>
      <w:pPr>
        <w:spacing w:after="0" w:line="131" w:lineRule="exact"/>
        <w:rPr>
          <w:sz w:val="20"/>
          <w:szCs w:val="20"/>
          <w:color w:val="auto"/>
        </w:rPr>
      </w:pPr>
    </w:p>
    <w:p>
      <w:pPr>
        <w:ind w:left="660" w:right="2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consultants and other vendors that conduct our preclinical activities;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acquiring, developing and manufacturing clinical trial materials and lab supplies;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expenses for rent and maintenance of facilities and other supplies.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expense internal research and development costs to operations as incurred. We expense third party costs for research and development activities, such as the manufacturing of preclinical and clinical materials, based on an evaluation of the progress to completion of specific tasks such as manufacturing of drug substance, fill/finish and stability testing, which is provided to us by our vendors.</w:t>
      </w:r>
    </w:p>
    <w:p>
      <w:pPr>
        <w:spacing w:after="0" w:line="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expect our research and development expenses will increase as we continue the manufacture of preclinical and clinical materials and manage the clinical trials of, and seek regulatory approval for, our product candidates and expand our product portfolio. In the near term, we expect that our research and development expenses will increase as we conduct our ongoing preclinical trials and our planned Phase 1/2 clinical trial for KB103. Due to the numerous risks and uncertainties associated with product development, we cannot determine with certainty the duration, costs and timing of this clinical trial, and, as a result, the actual costs to complete this planned clinical trial may exceed the expected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General and administrative expenses consist principally of professional fees associated with corporate and intellectual property legal expenses,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consulting and accounting services and facility-related costs. Other general and administrative costs include stock-based compensation and travel expenses.</w:t>
      </w:r>
    </w:p>
    <w:p>
      <w:pPr>
        <w:spacing w:after="0" w:line="12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the continued research and development of our product candidates and to operate as a public company. These increases will likely include increased costs for insurance, costs related to the hiring of additional personnel and payments to outside consultants, lawyers and accountants, among other expenses. Additionally, if and when we believe a regulatory approval of our first product candidate appears likely, we anticipate that we will increase our salary and personnel costs and other expenses as a result of our preparation for commercial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net consists primarily of interest expense on our convertible promissory notes, which is partially offset by interest earned on our cash.</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U.S. generally accepted accounting principles, or GAAP. The preparation of financial statements in conformity with GAAP requires us to make estimates and assumptions that affect the amounts reported in the financial statements and accompanying notes. On an ongoing basis, we evaluate estimates which include, but are not limited to, estimates related to contract manufacturing prepayments and accruals, stock-based compensation expense, and reported amounts of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5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research and development expenses, current assets and other current liabilities. This process involves reviewing open contracts and commitments, communicating with our personnel to identify services that have been performed for us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research and development expenses, current assets and other current liabilities as of each balance sheet date in our financial statements based on facts and circumstances known to us at that time. Examples of estimated accrued research and development expenses, prepaid assets and other current liabilities include fees paid to contract manufacturers made in connection with the manufacturing of clinical trials materials.</w:t>
      </w:r>
    </w:p>
    <w:p>
      <w:pPr>
        <w:spacing w:after="0" w:line="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base our expenses related to clinical manufacturing on our estimates of the services performed pursuant to contracts with the entities producing clinical materials on our behalf. The financial terms of these agreements are subject to negotiation, vary from contract to contract and may result in uneven payment flows. Payments under these types of contracts depend heavily upon the successful completion of many separate tasks involved in the manufacturing of drug product. In accruing service fees, we estimate the time period over which services will be performed, and the actual services performed in each period.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 actually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We have applied the fair value recognition provisions of Financial Accounting Standards Board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or ASC 718, to account for stock-based compensation for employees and ASC 718 and ASC 505, </w:t>
      </w:r>
      <w:r>
        <w:rPr>
          <w:rFonts w:ascii="Arial" w:cs="Arial" w:eastAsia="Arial" w:hAnsi="Arial"/>
          <w:sz w:val="17"/>
          <w:szCs w:val="17"/>
          <w:i w:val="1"/>
          <w:iCs w:val="1"/>
          <w:color w:val="auto"/>
        </w:rPr>
        <w:t>Equity</w:t>
      </w:r>
      <w:r>
        <w:rPr>
          <w:rFonts w:ascii="Arial" w:cs="Arial" w:eastAsia="Arial" w:hAnsi="Arial"/>
          <w:sz w:val="17"/>
          <w:szCs w:val="17"/>
          <w:color w:val="auto"/>
        </w:rPr>
        <w:t>, or ASC 505, for non-employees. We recognize compensation costs related to stock options granted to employees based on the estimated fair value of the awards on the date of grant. Stock compensation related to non-employee awards is re-measured at each reporting period until the awards are vested. Described below is the methodology we have utilized in measuring stock-based compensation expense.</w:t>
      </w:r>
    </w:p>
    <w:p>
      <w:pPr>
        <w:spacing w:after="0" w:line="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Determining the amount of stock-based compensation to be recorded requires us to develop estimates of the fair value of stock-based awards as of their measurement date. We recognize stock-based compensation expense over the requisite service period, which is the vesting period of the award. Calculating the fair value of stock-based awards requires that we make highly subjective assumptions. We use the Black-Scholes option pricing model to value our stock option awards. Use of this valuation methodology requires that we make assumptions as to the volatility of our common stock, the fair value of our common stock on the measurement date, the expected term of our stock options, the risk free interest rate for a period that approximates the expected term of our stock options and our expected dividend yield. Because we are a privately held company with a limited operating history, we utilize data from a representative group of publicly traded companies to estimate expected stock price volatility. We selected representative companies from the biopharmaceutical industry with characteristics similar to us. We use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 we do not have sufficient historical stock option activity data to provide a reasonable basis upon which to estimate the expected term of stock options granted to employees. For non-employee grants, we use an expected term equal to the remaining contractual term of the award. We utilize a dividend yield of zero based on the fact that we have never paid cash dividends and have no current intention of paying cash dividends. The risk-free interest rate used for each grant is based on the U.S. Treasury yield curve in effect at the time of grant for instruments with a similar expected life.</w:t>
      </w:r>
    </w:p>
    <w:p>
      <w:pPr>
        <w:spacing w:after="0" w:line="6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ASC 718, we are required to estimate the level of forfeitures expected to occur and record stock-based compensation expense only for those awards that we ultimately expect will vest. For all periods presented, our estimated annual forfeiture rate was 0%.</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Stock-based compensation expense includes options granted to employees and non-employees and has been reported in our statements of operations and comprehensive loss as follows (in thousands):</w:t>
      </w:r>
    </w:p>
    <w:p>
      <w:pPr>
        <w:spacing w:after="0" w:line="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estimated the fair value of stock options of each employee stock award at the grant date using assumptions regarding the fair value of the underlying common stock on each grant date and the following additional assumptions: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6"/>
              </w:rPr>
              <w:t>Year Ended</w:t>
            </w:r>
          </w:p>
        </w:tc>
        <w:tc>
          <w:tcPr>
            <w:tcW w:w="4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3000" w:type="dxa"/>
            <w:vAlign w:val="bottom"/>
            <w:gridSpan w:val="3"/>
          </w:tcPr>
          <w:p>
            <w:pPr>
              <w:jc w:val="center"/>
              <w:ind w:left="814"/>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gridSpan w:val="2"/>
          </w:tcPr>
          <w:p>
            <w:pPr>
              <w:jc w:val="center"/>
              <w:ind w:left="1434"/>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Pr>
          <w:p>
            <w:pPr>
              <w:spacing w:after="0"/>
              <w:rPr>
                <w:sz w:val="14"/>
                <w:szCs w:val="14"/>
                <w:color w:val="auto"/>
              </w:rPr>
            </w:pPr>
          </w:p>
        </w:tc>
        <w:tc>
          <w:tcPr>
            <w:tcW w:w="12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Employees</w:t>
            </w:r>
          </w:p>
        </w:tc>
        <w:tc>
          <w:tcPr>
            <w:tcW w:w="1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80%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of the award (in years)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tcPr>
          <w:p>
            <w:pPr>
              <w:jc w:val="right"/>
              <w:ind w:right="480"/>
              <w:spacing w:after="0"/>
              <w:rPr>
                <w:sz w:val="20"/>
                <w:szCs w:val="20"/>
                <w:color w:val="auto"/>
              </w:rPr>
            </w:pPr>
            <w:r>
              <w:rPr>
                <w:rFonts w:ascii="Arial" w:cs="Arial" w:eastAsia="Arial" w:hAnsi="Arial"/>
                <w:sz w:val="18"/>
                <w:szCs w:val="18"/>
                <w:color w:val="auto"/>
              </w:rPr>
              <w:t>1.97%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260" w:type="dxa"/>
            <w:vAlign w:val="bottom"/>
          </w:tcPr>
          <w:p>
            <w:pPr>
              <w:spacing w:after="0"/>
              <w:rPr>
                <w:sz w:val="20"/>
                <w:szCs w:val="20"/>
                <w:color w:val="auto"/>
              </w:rPr>
            </w:pPr>
            <w:r>
              <w:rPr>
                <w:rFonts w:ascii="Arial" w:cs="Arial" w:eastAsia="Arial" w:hAnsi="Arial"/>
                <w:sz w:val="18"/>
                <w:szCs w:val="18"/>
                <w:i w:val="1"/>
                <w:iCs w:val="1"/>
                <w:color w:val="auto"/>
              </w:rPr>
              <w:t>Non-employees</w:t>
            </w: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time to maturity (in years)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spacing w:after="0"/>
              <w:rPr>
                <w:sz w:val="20"/>
                <w:szCs w:val="20"/>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June 30, 2017, we had approximately $633 thousand of total unrecognized compensation expense, net of related forfeiture estimates, which we expect to recognize over a weighted-average remaining vesting period of approximately three years. We expect the effect of our stock based compensation expense to grow in future periods due to the potential increases in the value of our common stock and increased number of stock options granted due to anticipated increases in our overall headcount.</w:t>
      </w:r>
    </w:p>
    <w:p>
      <w:pPr>
        <w:spacing w:after="0" w:line="79"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The following table presents the grant dates of stock options that we granted from inception through June 30, 2017 along with the corresponding exercise price for each option grant and our current estimate of the fair value per option on each grant date, which we utilize to calculate stock-based compensation expense: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Estimated Fair</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Granted</w:t>
            </w: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per Share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per Share of</w:t>
            </w:r>
          </w:p>
        </w:tc>
        <w:tc>
          <w:tcPr>
            <w:tcW w:w="0" w:type="dxa"/>
            <w:vAlign w:val="bottom"/>
          </w:tcPr>
          <w:p>
            <w:pPr>
              <w:spacing w:after="0"/>
              <w:rPr>
                <w:sz w:val="1"/>
                <w:szCs w:val="1"/>
                <w:color w:val="auto"/>
              </w:rPr>
            </w:pPr>
          </w:p>
        </w:tc>
      </w:tr>
      <w:tr>
        <w:trPr>
          <w:trHeight w:val="185"/>
        </w:trPr>
        <w:tc>
          <w:tcPr>
            <w:tcW w:w="2640" w:type="dxa"/>
            <w:vAlign w:val="bottom"/>
            <w:gridSpan w:val="2"/>
            <w:vMerge w:val="continue"/>
          </w:tcPr>
          <w:p>
            <w:pPr>
              <w:spacing w:after="0"/>
              <w:rPr>
                <w:sz w:val="16"/>
                <w:szCs w:val="16"/>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 Granted</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 Share</w:t>
            </w:r>
          </w:p>
        </w:tc>
        <w:tc>
          <w:tcPr>
            <w:tcW w:w="2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 Common Stock</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142,105</w:t>
            </w:r>
          </w:p>
        </w:tc>
        <w:tc>
          <w:tcPr>
            <w:tcW w:w="24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vMerge w:val="continue"/>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vMerge w:val="continue"/>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27,000</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06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18,949</w:t>
            </w:r>
          </w:p>
        </w:tc>
        <w:tc>
          <w:tcPr>
            <w:tcW w:w="2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jc w:val="right"/>
              <w:ind w:right="1118"/>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options to purchase 159,633 shares of our common stock were outstanding. The aggregate intrinsic value of these options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 million, assuming an initial public offering price of $10.00 per share, the midpoint of the price range set forth on the cover page of this prospectus.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of all outstanding vested and unvested options as of June 30, 2017, assuming an initial public offering price of $10.00 per share, the midpoint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price range set forth on the cover page of this prospectus,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Life (Years)</w:t>
            </w:r>
          </w:p>
        </w:tc>
        <w:tc>
          <w:tcPr>
            <w:tcW w:w="3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2016</w:t>
            </w: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142,105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2.46</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142,105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Granted (unaudited)</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45,949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5.07</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(unaudited)</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Cancelled or forfeited (unaudited)</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(28,421)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2.46</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159,633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2017 (unaudited)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18,945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 on Grant Dates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As there has been no public market for our equity instruments to date, the estimated fair value of our common shares has been determined by our board of directors as of the grant date, with input from management, considering our most recently available third-party valuations of common shares and our board of directors’ assessment of additional objective and subjective factors that it believed were relevant and which may have changed from the date of the most recent valuation through the date of the grant. Following the consummation of this offering, the fair value of our common stock will be determined based on the quoted market price of our common stock. We engaged an independent third-party valuation specialist to perform contemporaneous valuations as of September 30, 2016 and May 31, 2017. The third-party valuations were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or AICPA’s Practice Aid. In conducting the valuations, the independent third-party valuation specialist considered all objective and subjective factors that it believed to be relevant for each valuation conducted in accordance with AICPA’s Practice Aid, including our best estimate of our business condition, prospects and operating performance at each valuation date. Other significant factors included:</w:t>
      </w:r>
    </w:p>
    <w:p>
      <w:pPr>
        <w:spacing w:after="0" w:line="83" w:lineRule="exact"/>
        <w:rPr>
          <w:sz w:val="20"/>
          <w:szCs w:val="20"/>
          <w:color w:val="auto"/>
        </w:rPr>
      </w:pPr>
    </w:p>
    <w:p>
      <w:pPr>
        <w:ind w:left="660" w:right="140" w:hanging="206"/>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preferences and privileges of our preferred stock as compared to those of our common stock, including the liquidation preferences of our preferred stock;</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research and development efforts;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liquidity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guideline companies;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external market conditions affecting the life sciences and biotechnology industry sectors;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and stock options,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state of the IPO market for similarly situated privately held biotechnology companies.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dates of our contemporaneous valuations have not always coincided with the dates of our stock option grants. In determining the exercise prices of the stock options set forth in the table above, our board of directors considered, among other things, the most recent contemporaneous valuation of our common stock and their assessment of additional objective and subjective factors that were relevant as of the grant dates. The additional factors considered when determining whether any changes in the fair value of our common stock had occurred between the most recent contemporaneous valuation and the grant dates included our stage of research and preclinical development, our operating and financial performance and current business conditions.</w:t>
      </w:r>
    </w:p>
    <w:p>
      <w:pPr>
        <w:spacing w:after="0" w:line="5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the related valuations associated with such events, and the determinations of the appropriate valuation methods at each valuation date. If we had made different assumptions, our stock-based compensation expense, net loss and net loss per share applicable to common stockholders could have been materially different.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 Methodologies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valuations we obtained were prepared in accordance with the guidelines in AICPA’s Practice Aid, which prescribes several valuation approaches for setting the value of an enterprise, such as the cost, market and income approaches, and various methodologies for allocating the value of an enterprise to its common stock. We generally used the market approach, in particular the guideline company and precedent transaction methodologies, based on inputs from comparable public companies’ equity valuations and comparable acquisition transactions, to estimate the enterprise value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Used to Allocate Our Enterprise Value to Classes of Securities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accordance with AICPA’s Practice Aid, we considered the various methods for allocating the enterprise value across our classes and series of capital stock to determine the fair value of our common stock at each valuation date. The methods considered consisted of the following:</w:t>
      </w:r>
    </w:p>
    <w:p>
      <w:pPr>
        <w:spacing w:after="0" w:line="52" w:lineRule="exact"/>
        <w:rPr>
          <w:sz w:val="20"/>
          <w:szCs w:val="20"/>
          <w:color w:val="auto"/>
        </w:rPr>
      </w:pPr>
    </w:p>
    <w:p>
      <w:pPr>
        <w:ind w:left="660" w:right="80" w:hanging="20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or PWERM. </w:t>
      </w:r>
      <w:r>
        <w:rPr>
          <w:rFonts w:ascii="Arial" w:cs="Arial" w:eastAsia="Arial" w:hAnsi="Arial"/>
          <w:sz w:val="18"/>
          <w:szCs w:val="18"/>
          <w:color w:val="auto"/>
        </w:rPr>
        <w:t>The PWERM is a scenario-based analysis that estimates the value per share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probability-weighted present value of expected future investment returns, considering each of the possible outcomes available to us, as well as the economic and control rights of each share class.</w:t>
      </w:r>
    </w:p>
    <w:p>
      <w:pPr>
        <w:spacing w:after="0" w:line="86"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Option Pricing Method, or OPM. </w:t>
      </w:r>
      <w:r>
        <w:rPr>
          <w:rFonts w:ascii="Arial" w:cs="Arial" w:eastAsia="Arial" w:hAnsi="Arial"/>
          <w:sz w:val="18"/>
          <w:szCs w:val="18"/>
          <w:color w:val="auto"/>
        </w:rPr>
        <w:t>Under the option pricing method, shares are valued by creating a series of call options with exercise prices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liquidation preferences and conversion terms of each equity class. The values of the preferred and common stock are inferred by analyzing these options.</w:t>
      </w:r>
    </w:p>
    <w:p>
      <w:pPr>
        <w:spacing w:after="0" w:line="86" w:lineRule="exact"/>
        <w:rPr>
          <w:rFonts w:ascii="Arial" w:cs="Arial" w:eastAsia="Arial" w:hAnsi="Arial"/>
          <w:sz w:val="18"/>
          <w:szCs w:val="18"/>
          <w:color w:val="auto"/>
        </w:rPr>
      </w:pPr>
    </w:p>
    <w:p>
      <w:pPr>
        <w:ind w:left="660" w:right="40" w:hanging="206"/>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Current Value Method. </w:t>
      </w:r>
      <w:r>
        <w:rPr>
          <w:rFonts w:ascii="Arial" w:cs="Arial" w:eastAsia="Arial" w:hAnsi="Arial"/>
          <w:sz w:val="18"/>
          <w:szCs w:val="18"/>
          <w:color w:val="auto"/>
        </w:rPr>
        <w:t>The current value method of allocating value between security holders analyzes the current capital structure of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time the valuation. It assumes that preferred shares can be valued based upon the amount of their liquidation preferences, unless their conversion rights are “in the money.” Preferred shares are “in the money” if the estimated fair value of the business is high enough that the preferred shareholder would choose to exercise their right to convert their preferred shares into of common stock, taking into account senior liquidation preferences, multiple liquidation preferences, and participation feature.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foregoing valuation methodologies are not the only methodologies available and they will not be used to value our common stock once this offering is complete. We cannot make assurances as to any particular valuation for our common stock. Accordingly, investors are cautioned not to place undue reliance on the foregoing valuation methodologies as an indicator of future stock prices.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Common Stock as of September 30, 2016</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engaged a third-party valuation specialist to conduct a contemporaneous valuation of our common stock as of September 30, 2016. We chose the option-pricing method, or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94"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Expiration 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Volatility;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Risk-free rate of return.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this method, the common share has value only if the funds available for distribution to shareholders exceed the value of the liquidation preference at the time of a liquidity event, assuming the 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8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3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Time to liquidity: 5 years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volatility of underlying securities: 80.0%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free rate of return: 1.14%</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input variables, the fair value of our common stock on September 30, 2016 was $2.46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in November 2016</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board of directors granted options to purchase 142,105 common shares in November 2016 with an exercise price of $2.46 per share, which the board determined to be fair value per share of the common stock at the time of such grant.</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time of the grant of the options, we considered the third-party valuation as of September 30, 2016 as well as other factors in estimating the fair value of our common stock on their respective grant dates. From September 30, 2016 through November 30, 2016, we did not receive any significant scientific data or results from the development of our lead product candidate KB103, or experience any other material events that would affect the fair value of our common stock. In addition, there were no significant changes in the overall capital markets that affected the assumptions used to estimate the fair value of our common stock. Given the uncertainty around a future liquidity event our board of directors considered that no significant event or other circumstances had occurred between September 30, 2016 and November 30, 2016, and determined that there was no change in the fair value of our common stock during that period.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in May 2017</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approved four grants of options to purchase a total of 27,000 shares of common stock on May 1, 2017 with an exercise price of $2.46 per share, which the board determined to be the fair value per share of the common stock at the time of such grants. Two of the option grants for a total of 13,500 shares were to individuals who were expected to commence employment at the beginning of May. Those individuals subsequently delayed their employment commencement dates to June 1, 2017.</w:t>
      </w:r>
    </w:p>
    <w:p>
      <w:pPr>
        <w:spacing w:after="0" w:line="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time of the grant of the options, we considered the third-party valuation as of September 30, 2016 as well as other factors in estimating the fair value of our common stock on their respective grant dates. From September 30, 2016 through May 1, 2017, we did not receive any scientific data or results from the development of its lead product candidate KB103 which, in in our judgment, had a concrete or ascertainable impact on the fair value of our common stock, or experience any other material events that would affect the fair value of our common stock. In addition, we had not yet engaged in meaningful discussions with consultants or investment bankers concerning the possibility or feasibility of completing an initial public offering. Furthermore, there were no significant changes in the overall capital markets that affected the assumptions used to estimate the fair value of our common stock. Given the uncertainty around a future liquidity event our board of directors considered that no significant event or other circumstances had occurred between September 30, 2016 and May 1, 2017, and determined that there was no change in the fair value of our common stock during that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Common Stock as of May 31, 2017</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engaged a third-party valuation specialist to conduct a contemporaneous valuation of our common stock as of May 31, 2017. We chose the OPM to estimate our enterprise value and to allocate this value to the various outstanding equity instruments. The option pricing method of allocating value between security holders analyzes the value of each class of security by treating it as a call option on a portion of the future of a business. It assumes that a formula, such as the Black-Scholes model, can calculate the fair value, if provided with estimate of certain values. The values to be estimated are:</w:t>
      </w:r>
    </w:p>
    <w:p>
      <w:pPr>
        <w:spacing w:after="0" w:line="60"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date;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Volatility;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Risk-free rate of return.</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Under this method, the common share has value only if the funds available for distribution to shareholders exceed the value of the liquidation preference at the time of a liquidity event, assuming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enterprise has funds available to make a liquidation preference meaningful and collectible by the shareholders. The common share is modeled as a call option that gives the owner the right but not the obligation to buy the underlying enterprise value at a predetermined or exercise price. In the model, the exercise price is based on a comparison with the equity value rather than, as in the case of a “regular” call option, a comparison with a per-share price. Thus, common shares are considered to be call options with a claim on the enterprise at an exercise price equal to the remaining value immediately after the preferred shares are liquidated.</w:t>
      </w:r>
    </w:p>
    <w:p>
      <w:pPr>
        <w:spacing w:after="0" w:line="8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OPM considers the various factors, including the level of seniority among the securities, dividend policy, conversion ratios, and cash allocations, upon liquidation of the enterprise. In addition, the method implicitly considers the effects of the liquidation preference as of the future liquidation date, not as of the valuation date. However, the method may be complex to implement and is sensitive to certain key assumptions, such as the volatility assumption.</w:t>
      </w:r>
    </w:p>
    <w:p>
      <w:pPr>
        <w:spacing w:after="0" w:line="3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OPM, as applied under the Black-Scholes model, is appropriate to use when the range of possible further outcomes is so difficult to predict that forecasts would be highly speculative. That is, use of the method under Black-Scholes is generally appropriate in situations in which the enterprise has many choices and options available, and the enterprise’s value depends on how well it follows an uncharted path through the various possible opportunities.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were applied in the Black-Scholes calculations of the OPM are as follows:</w:t>
      </w:r>
    </w:p>
    <w:p>
      <w:pPr>
        <w:spacing w:after="0" w:line="131"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Time to liquidity: 5 years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volatility of underlying securities: 80.0%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 free rate of return: 1.75%</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 yield: 0.0%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input variables, the fair value of our common stock on May 31, 2017 was $8.79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in June 2017</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board of directors granted 18,949 shares of common stock in June 2017 with an exercise price of $8.79 per share, which the board determined to be the fair value per share of the common stock at the time of such grant.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Retrospective Valuations as of May 1, 2017 and June 1, 2017</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July 13, 2017, our board of directors authorized the preparation and filing of a draft registration statement with the SEC to permit the issuance and sale of shares of our common stock to the public. In connection with the preparation of our financial statements for inclusion in this offering document and considering the fair value per share of our common stock, as determined by a third-party valuation specialist performed as of May 31, 2017, management and the our board of directors determined to retrospectively reassess, solely for financial reporting purposes, the estimated fair value of our common stock related to the May 1, 2017 stock option grants. In determining the retrospectively reassessed estimated fair values of these stock option grants, we extrapolated a value as of the option grant date of May 1, 2017 by assuming that the fair value of the common stock increased on a linear basis from the fair value of our common stock determined by a third-party valuation specialist on September 1, 2016, $2.46 per share, to the fair value of our common stock determined by a third-party valuation specialist on May 31, 2017, $8.79 per share. Applying this linear extrapolation, we determined that for financial reporting purposes the fair value of our common stock on May 1, 2017 was $8.00 per share. Additionally, we determined the fair value of the common stock as of June 1, 2017 to be $8.79 per share, as determined in the May 31, 2017 valuation, because the value per common share did not materially change with the passage of one day. We believe that the preparation of the retrospective valuations was necessary due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 that the timeframe and probability for a potential IPO had accelerated significantly since the time of our last valuation as of September 30, 2016, and that such acceleration would have a significant impact on the fair value of our common stock. We concluded that retrospective valuations for grant dates prior to May 1, 2017 were not necessary due to the early stage of our research programs and there being significantly less probability of an IPO in the near term prior to May 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8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86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Research and development expenses at December 31, 2016 were $741 thousand. The expenses incurred were primarily related to lab supplies of $173 thousand, external development of $380 thousand, consulting costs of $131 thousand and facilities related costs of $57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General and administrative expenses at December 31, 2016 were $402 thousand. The expenses incurred were primarily related to travel and related costs of $142 thousand, legal costs of $141 thousand, accounting services of $61 thousand, facilities related costs of $18 thousand, office supplies of $18 thousand, other professional and consulting of $7 thousand, other administrative of $7 thousand, and stock based compensation expense of $8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was approximately $7 thousand for the year ended December 31, 2016.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and June 30, 2017</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5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(201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(1,253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increased $667 thousand in the six months ended June 30, 2017 as compared to the six months ended June 30, 2016. Higher research and development spending was due largely to increases in external development of $183 thousand, consulting costs of $183 thousand, lab supplies of $129 thousand, payroll, payroll taxes and stock-based compensation of $126 thousand and facilities related costs of $46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$312 thousand in the six months ended June 30, 2017 as compared to the six months ended June 30,</w:t>
      </w:r>
    </w:p>
    <w:p>
      <w:pPr>
        <w:spacing w:after="0" w:line="46"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2016. Higher general and administrative spending was due largely to travel and related costs of $52 thousand, legal and professional services of $160 thousand, payroll, employee benefit and stock based compensation costs of $79 thousand and other administrative costs of $21 thousand.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Interest expense was $73 thousand for the six months ended June 30, 2017 related to the interest expense of our convertible promissory notes. There was no interest expense for the six months ended June 30, 2016 since we had not yet issued our convertible promissory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our inception and through June 30, 2017, we have received an aggregate of $1.4 million in gross proceeds from the issuance of equity securities and an aggregate of $4.1 million from debt financings. At June 30, 2017 our cash was approximately $3.5 million. In August 2017, we closed the sale of preferred stock for aggregate proceeds of $7.0 million. In August 2017, we closed the sale of 130,590 shares of our common stock with a party related to a director of our board for aggregate proceeds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November 16, 2016, we executed a note purchase agreement under which convertible promissory notes were issued. Each note bore interest at a rate of 6% per annum, which accrued based on a 365 day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year and matured on May 14, 2018, unless sooner paid or converted. The notes become immediately due and payable in the event of an occurrence of default by us. As of December 31, 2016 and June 30, 2017, the outstanding principal balance of the notes was $1.8 million and $4.1 million, respectively. In the event we sold, merged, consolidated or reorganized, then all of the outstanding notes, at the option of the holder, would become immediately due and payable or convert into a number of shares of common stock or common units. In addition, the outstanding notes would automatically convert into shares of our common stock in the event we sell shares of our preferred stock in a minimum amount of $5.0 million.</w:t>
      </w:r>
    </w:p>
    <w:p>
      <w:pPr>
        <w:spacing w:after="0" w:line="64"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Commensurate with the sale and issuance of the preferred stock on August 8, 2017, the convertible promissory notes were converted into 968,053 shares of preferred stock (inclusive of accrued interest thereon), in accordance with the conversion features of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primary uses of capital are, and we expect will continue to be for the near future, compensation and related expenses, manufacturing costs for preclinical and clinical materials, third party clinical trial research and development services, laboratory and related supplies, clinical costs, legal and other regulatory expenses and general overhead costs.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our planned use of the net proceeds of this offering and our existing cash resources, we believe that our available funds following this offering will be sufficient to enable us to obtain clinical data from our planned Phase 1/2 clinical trial for KB103. We expect that these funds will not be sufficient to enable us to seek marketing approval for or commercialize any of our product candidates.</w:t>
      </w:r>
    </w:p>
    <w:p>
      <w:pPr>
        <w:spacing w:after="0" w:line="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92"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costs of our ongoing planned Phase 1/2 clinical trial for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timing and costs of manufacturing of KB103 for planned clinical trials;</w:t>
      </w:r>
    </w:p>
    <w:p>
      <w:pPr>
        <w:spacing w:after="0" w:line="130" w:lineRule="exact"/>
        <w:rPr>
          <w:rFonts w:ascii="Arial" w:cs="Arial" w:eastAsia="Arial" w:hAnsi="Arial"/>
          <w:sz w:val="18"/>
          <w:szCs w:val="18"/>
          <w:color w:val="auto"/>
        </w:rPr>
      </w:pPr>
    </w:p>
    <w:p>
      <w:pPr>
        <w:ind w:left="660" w:right="540" w:hanging="20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other product candidates and potential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commercialization activities for KB103 and other product candidates if we receive marketing approval,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receipt of marketing approval, revenue received from commercial sales of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timing of any future collaborations, licensing, consulting or other arrangements that we may establish;</w:t>
      </w:r>
    </w:p>
    <w:p>
      <w:pPr>
        <w:spacing w:after="0" w:line="130" w:lineRule="exact"/>
        <w:rPr>
          <w:rFonts w:ascii="Arial" w:cs="Arial" w:eastAsia="Arial" w:hAnsi="Arial"/>
          <w:sz w:val="18"/>
          <w:szCs w:val="18"/>
          <w:color w:val="auto"/>
        </w:rPr>
      </w:pPr>
    </w:p>
    <w:p>
      <w:pPr>
        <w:jc w:val="both"/>
        <w:ind w:left="660" w:right="220" w:hanging="206"/>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and timing of any payments we may be required to make, or that we may receive, in connection with the licensing, filing, prosecution, defense and enforcement of any patents or other intellectual property rights, including milestone and royalty payments and patent prosecution fees that we are obligated to pay pursuant to our license agreements;</w:t>
      </w:r>
    </w:p>
    <w:p>
      <w:pPr>
        <w:spacing w:after="0" w:line="86"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in-license or acquire other products and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we will need to obtain substantial additional funding in order to receive regulatory approval and to commercialize KB103 or any other product candidates.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affect our ability to conduct our business. If we are unable to raise capital when needed or on attractive terms, we could be forced to significantly delay, scale back or discontinue the development or commercialization of KB103 or our other product candidates, seek collaborators at an earlier stage than otherwise would be desirable or on terms that are less favorable than might otherwise be available, and relinquish or license, potentially on unfavorable terms, our rights to KB103 or our other product candidates that we otherwise would seek to develop or commercialize ourselves.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224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w w:val="97"/>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8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3,249</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increase in cash</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Net cash used in operating activities was $1.3 million for the year ended December 31, 2016 and consisted primarily of a net loss of $1.2 million adjusted for non-cash items including nominal depreciation expenses, stock-based compensation expense of $33 thousand and a net increase in operating assets and liabilities of approximately $194 thousand.</w:t>
      </w:r>
    </w:p>
    <w:p>
      <w:pPr>
        <w:spacing w:after="0" w:line="73"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Net cash used by operating activities was $139 thousand for the six months ended June 30, 2016, which consisted primarily of a net loss of $201 thousand adjusted for non-cash items, including depreciation and stock-based compensation expense of $4 thousand, which was partially offset by net increases in operating assets and liabilities of $58 thousand.</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Net cash used in operating activities was $665 thousand for the six months ended June 30, 2017 consisting primarily of a net loss of $1.3 million adjusted for non-cash items including depreciation expenses of $4 thousand, stock-based compensation expense of $135 thousand, non-cash interest expense of $73 thousand and a net increase in operating assets and liabilities of approximately $376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During the year ended December 31, 2016, our investing activities used net cash of $15 thousand. The use of net cash resulted from purchases of laboratory property and equipment.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six months ended June 30, 2016, our investing activities used net cash of $5 thousand for the purchase of computer equipment.</w:t>
      </w:r>
    </w:p>
    <w:p>
      <w:pPr>
        <w:spacing w:after="0" w:line="129"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six months ended June 30, 2017, our investing activities used net cash of approximately $39 thousand. The use of net cash resulted primarily from purchase of computer and laboratory property and equipment.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cash provided by financing activities was $3.2 million for the year ended December 31, 2016, which consisted of $1.4 million from the issuance of preferred stock and $1.8 million from the issuance of convertible promissory notes.</w:t>
      </w:r>
    </w:p>
    <w:p>
      <w:pPr>
        <w:spacing w:after="0" w:line="6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Net cash provided by financing activities was $854 thousand for the six months ended June 30, 2016, which consisted of $100 thousand from the issuance of common units and $754 thousand from the issuance of preferred units.</w:t>
      </w:r>
    </w:p>
    <w:p>
      <w:pPr>
        <w:spacing w:after="0" w:line="62"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Net cash provided by financing activities was $2.3 million for the six months ended June 30, 2017, which was from the issuance of convertible promissory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our inception through December 31, 2016, we were organized as a California limited liability company, or LLC, for federal and state income tax purposes, and therefore, all items of income or loss through December 31, 2016 flowed through to the members of the LLC. Effective January 1, 2017, we converted from an LLC to a Delaware C-corporation for federal and state income tax purposes. Prior to the conversion to a C-corporation, we did not record deferred tax assets or liabilities or have any net operating loss, or NOL, carryforwards for federal income tax purposes. Effective upon our conversion to a C-corporation, we became subject to income tax at the federal and state levels. Accordingly, as of June 30, 2017, we recorded a deferred tax asset for federal and state income taxes, which consists primarily of NOL carryforwards and research &amp; development credit, as defined by the Internal Revenue Service.</w:t>
      </w:r>
    </w:p>
    <w:p>
      <w:pPr>
        <w:spacing w:after="0" w:line="5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did not record a current or deferred income tax expense or benefit for the year ended December 31, 2016 and the six months ended June 30, 2017. Because we were an LLC for the year ended December 31, 2016, we were not subject to federal income tax. A reconciliation of income tax expense (benefit) computed at the statutory federal income tax rate of 40 percent for the year to income tax expense (benefit) as reflected in our financial statements for the six months ended June 30, 2017 is as follows (in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tax expense (benefit)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components of our deferred tax assets as of June 30, 2017 are as follows (in thousands):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629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b w:val="1"/>
          <w:bCs w:val="1"/>
          <w:color w:val="auto"/>
        </w:rPr>
        <w:t>(unaudited)</w:t>
      </w:r>
    </w:p>
    <w:p>
      <w:pPr>
        <w:ind w:left="400" w:hanging="396"/>
        <w:spacing w:after="0"/>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(501)</w:t>
      </w:r>
    </w:p>
    <w:p>
      <w:pPr>
        <w:spacing w:after="0" w:line="1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515</w:t>
      </w:r>
    </w:p>
    <w:p>
      <w:pPr>
        <w:spacing w:after="0" w:line="9"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9"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(20)</w:t>
      </w:r>
    </w:p>
    <w:p>
      <w:pPr>
        <w:spacing w:after="0" w:line="3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4629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 w:lineRule="exact"/>
        <w:rPr>
          <w:sz w:val="20"/>
          <w:szCs w:val="20"/>
          <w:color w:val="auto"/>
        </w:rPr>
      </w:pPr>
    </w:p>
    <w:p>
      <w:pPr>
        <w:ind w:left="460" w:hanging="456"/>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462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4629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488" w:lineRule="exact"/>
        <w:rPr>
          <w:sz w:val="20"/>
          <w:szCs w:val="20"/>
          <w:color w:val="auto"/>
        </w:rPr>
      </w:pPr>
    </w:p>
    <w:p>
      <w:pPr>
        <w:sectPr>
          <w:pgSz w:w="11900" w:h="16838" w:orient="portrait"/>
          <w:cols w:equalWidth="0" w:num="2">
            <w:col w:w="8940" w:space="720"/>
            <w:col w:w="1760"/>
          </w:cols>
          <w:pgMar w:left="240" w:top="459" w:right="239" w:bottom="1440" w:gutter="0" w:footer="0" w:header="0"/>
          <w:type w:val="continuous"/>
        </w:sect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5220" w:type="dxa"/>
            <w:vAlign w:val="bottom"/>
            <w:gridSpan w:val="2"/>
          </w:tcPr>
          <w:p>
            <w:pPr>
              <w:ind w:left="5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option</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Research &amp; development credit</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Accrued bonus expenses</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Valuation allowance</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5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120" w:type="dxa"/>
            <w:vAlign w:val="bottom"/>
            <w:vMerge w:val="restart"/>
          </w:tcPr>
          <w:p>
            <w:pPr>
              <w:jc w:val="right"/>
              <w:ind w:right="377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evaluated the positive and negative evidence bearing upon the realizability of our deferred tax assets. Based on our history of operating losses, we have concluded that it is more likely than not that the benefit of our deferred tax assets will not be realized. Accordingly, we have provided a full valuation allowance for deferred tax assets as of June 30, 2017. The valuation allowance increased approximately $515 thousand during the six months ended June 30, 2017, due primarily to the federal and state net operating losses generated during the period.</w:t>
      </w:r>
    </w:p>
    <w:p>
      <w:pPr>
        <w:spacing w:after="0" w:line="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we had no U.S. federal NOL carryforwards because we were organized as a flow-through entity. As of June 30, 2017, we had U.S. federal NOL carryforwards of approximately $449 thousand which may be available to offset future income tax liabilities and expire at various dates through 2037.</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our company immediately prior to the ownership change. Subsequent ownership changes may further affect the limitation in future years. We have completed financings since inception which may have resulted in a change in control as defined by Sections 382 and 383 of the Internal Revenue Code, or could result in a change in control in the future.</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 income tax returns in the United States at the federal level and in states in which we conduct business activities. The federal and state income tax returns are generally subject to tax examinations for the tax year ended December 31, 2016. To the extent we have tax attribute carryforwards, the tax years in which the attribute was generated may still be adjusted upon examination by the Internal Revenue Service or state tax authorities to the extent utilized in a future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outstanding contractual obligations as of payment due date by period at December 31, 2016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Years</w:t>
            </w:r>
          </w:p>
        </w:tc>
        <w:tc>
          <w:tcPr>
            <w:tcW w:w="6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54"/>
              <w:spacing w:after="0"/>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4-5</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minimum operating lease payments</w:t>
            </w:r>
            <w:r>
              <w:rPr>
                <w:rFonts w:ascii="Arial" w:cs="Arial" w:eastAsia="Arial" w:hAnsi="Arial"/>
                <w:sz w:val="15"/>
                <w:szCs w:val="15"/>
                <w:color w:val="auto"/>
              </w:rPr>
              <w:t>(1)</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Less: minimum payments to be received from non-cancelable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subleases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 net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5100" w:type="dxa"/>
            <w:vAlign w:val="bottom"/>
          </w:tcPr>
          <w:p>
            <w:pPr>
              <w:spacing w:after="0"/>
              <w:rPr>
                <w:sz w:val="20"/>
                <w:szCs w:val="20"/>
                <w:color w:val="auto"/>
              </w:rPr>
            </w:pPr>
            <w:r>
              <w:rPr>
                <w:rFonts w:ascii="Arial" w:cs="Arial" w:eastAsia="Arial" w:hAnsi="Arial"/>
                <w:sz w:val="18"/>
                <w:szCs w:val="18"/>
                <w:color w:val="auto"/>
              </w:rPr>
              <w:t>Obligation to contract manufacturing organization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  In May 2016, we leased office and laboratory space at 2100 Wharton St., Suite 701, Pittsburgh, PA that expires in October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cash is held in an operating account as of June 30, 2017. The investments in these financial instruments are made in accordance with an investment policy which specifies the categories, allocations and ratings of securities we may consider for investment. The primary objective of our investment activities is to preserve principal while at the same time maximizing the income we receive without significantly increasing risk. Some of the financial instruments in which we invest could be subject to market risk. This means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portfolio which may include cash, cash equivalents and investment securities available-for-sale in a variety of securities which may include money market funds, government and non-government debt securities and commercial paper, all with various maturity dates. Based on our current investment portfolio, we do not believe that our results of operations or our financial position would be materially affected by an immediate change of 10% in interest rates.</w:t>
      </w:r>
    </w:p>
    <w:p>
      <w:pPr>
        <w:spacing w:after="0" w:line="3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do not hold or issue derivatives, derivative commodity instruments or other financial instruments for speculative trading purposes. Further, we do not believe our cash has significant risk of default or illiquidity. While we believe our cash account does not contain excessive risk, we cannot provide absolute assurance that any investments we make in the future will not be subject to adverse changes in market value. Our cash is recorded at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2017, we issued 914,107 shares of Series A Preferred Stock, or Series A Preferred, to Sun Pharma (Netherlands) B.V., or Sun Pharma,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indirect subsidiary of Sun Pharmaceutical Industries Limited, pursuant to a stock purchase agreement for aggregate proceeds to us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Sun Pharma is a multinational pharmaceutical company and the largest pharmaceutical company headquartered in India. For so long as it is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 of Series A Preferred, Sun Pharma has a right to designate and have elected a single representative to our board of directors and accordingly,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2017, Kirti Ganorkar was elected to our board of directors. Each share of Series A Preferred will convert into a share of common stock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of this offering. Simultaneously with the sale of the Series A Preferred, all of our outstanding convertible debt with accrued interest was converted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968,053 shares of Series A-1 Preferred Stock and Series A-2 Preferred Stock, which will also convert into shares of common stock on a one-for-one basis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closing of this offering.</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April 2012, the JOBS Act was enacted in the United States.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gene therapy company dedicated to developing and commercializing novel treatments for patients suffering from dermatological diseases. We have developed a proprietary gene therapy platform, which we refer to as the Skin TARgeted Delivery platform, or STAR-D platform, that consists of a patent pending engineered viral vector based on herpes simplex virus 1, or HSV-1, and skin-optimized gene transfer technology, to develop off-the-shelf treatments for dermatological diseases for which we believe there are no known effective treatments. We are initially using the STAR-D platform to develop treatments for rare or orphan dermatological indications caused by the absence of or a mutation in a single gene, and plan to leverage our platform to expand our pipeline to include other dermatological indications in the future.</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lead product candidate, KB103, is currently in preclinical development and seeks to use gene therapy to treat dystrophic epidermolysis bullosa, or DEB, a rare and severe genetic disease, for which there is currently no approved treatment. DEB affects the skin and mucosal tissues, and is caused by one or more mutations in a gene called COL7A1, which is responsible for the formation of protein type VII collagen, or COL7, that forms anchoring fibrils that bind the dermis, or inner layer of the skin, to the epidermis, or outer layer of the skin. In DEB patients, the genetic defect in COL7A1 results in loss or malfunctioning of these anchoring fibrils, leading to extremely fragile skin that blisters and tears from minor friction or trauma. Those born with DEB are sometimes called “butterfly children,” because their skin is likened to be as fragile as the wings of a butterfly. DEB patients may suffer from open wounds, skin infections, fusion of fingers and toes and gastrointestinal tract problems throughout their lifetime, and may eventually develop squamous cell carcinoma, a potentially fatal condition. Based on information from DEBRA International, a worldwide alliance of patient support groups for epidermolysis bullosa, or EB, of which DEB is a subset, we believe there may be as many as 125,000 patients worldwide who suffer from DEB. We estimate that there are presently 3,200 to 3,500 diagnosed DEB patients in the European Union, United States, Japan and Canada.</w:t>
      </w:r>
    </w:p>
    <w:p>
      <w:pPr>
        <w:spacing w:after="0" w:line="6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approach to treating DEB with KB103, which has not yet been approved by either the U.S. Food and Drug Administration, or FDA, or the European Medicine Agency, or EMA, is novel. To date, only one gene therapy product has received marketing authorization from the FDA, and only two gene therapy products have received marketing authorization from the EMA. The current standard of care for DEB patients is limited to palliative measures which seek to provide relief from some of the symptoms of DEB but do not meaningfully impact disease outcomes. Other known efforts to develop DEB treatments are employing autologous approaches to creating therapeutic products. Autologous treatments use a patient’s own tissues and cells to manufacture an individualized therapy. Such therapies are expensive, invasive and time consuming to use, and require highly sophisticated medical teams and procedures. In contrast, KB103 is designed to be an off-the-shelf treatment for DEB that can be applied either intra-dermally or topically to a patient’s skin, every three to four months. Unlike the current standard of care, KB103 seeks to treat DEB at the molecular level through gene therapy, and is intended to be a non-invasive treatment that can be used without requiring hospitalization or individually customized treatment.</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KB103 is a replication-defective, non-integrating viral vector that has been engineered employing our STAR-D platform to deliver functional human COL7A1 genes directly to the patients’ dividing and non-dividing skin cells. Non-integrating genes do not combine with the host cell’s DNA and express proteins separately from it. As a result, they do not disrupt the functioning of the host genes or present the cancer-causing risks associated with such disruption. We believe our STAR-D platform provides an optimal approach for treating dermatological conditions due to the nature of the HSV-1 viral vector we have created. Our viral vector has a natural affinity for the outermost layer of the epidermis, or skin epithelium, and we believe it can penetrate skin cells more efficiently than other viral vectors used in gene therapy. In addition, unlike many other gene therapy treatments, our viral vector is non-integrating. Our viral vector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also has a high capacity or payload relative to most vectors, so it can accommodate large genes like COL7A1 and may allow us to insert single and multiple genes and other effectors in the future. This ability of our STAR-D platform could allow for the potential treatment of multi-factoral dermatological conditions like psoriasis and chronic wounds.</w:t>
      </w:r>
    </w:p>
    <w:p>
      <w:pPr>
        <w:spacing w:after="0" w:line="7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Preclinical studies evaluating intradermal and topical delivery of KB103 have been completed, and have demonstrated successful introduction of a functional COL7A1 gene to the host cells and subsequent expression of COL7. Additional studies to determine the durability, efficacy and dosing frequency using surrogate models of DEB are currently ongoing. We are presently completing a Good Laboratory Practice, or GLP, toxicity study and intend to file an Investigational New Drug, or IND, application for KB103 with the FDA in the first quarter of 2018.</w:t>
      </w:r>
    </w:p>
    <w:p>
      <w:pPr>
        <w:spacing w:after="0" w:line="6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management team includes individuals with expertise in gene therapy, product development, and manufacturing and commercialization in the biotechnology space. In addition, our management team members have successful track records in shepherding drugs from research to product approval. Suma M. Krishnan, our founder and Chief Operating Officer, has 25 years of drug development experience and led the discovery, development and approval of Vyvanse, a blockbuster drug to treat Attention Deficit Hyperactivity Disorder, or ADHD. She was also a member of the regulatory teams for both Adderall XR and Fosrenol, providing key support in moving both products toward approval, and more recently advanced several gene therapy programs from discovery to clinical development. Our Chairman and Chief Executive Officer, Krish S. Krishnan, brings 20 years of broad leadership and management experience in the biopharmaceutical industry. Our scientific team collectively has over 20 years of experience in HSV engineering and purification, providing the expertise needed to successfully optimize our HSV-1 vector production process. In addition, we are guided by key opinion leaders, or KOLs, who are generally accepted in the medical and scientific communities to be leading experts in the DEB and orphan dermatological disease space. Our KOLs, with whom we consult on an as-needed and project basis and compensate on an hourly or project basis, as the case may be, include Dr. Peter Marinkovich of the Department of Dermatology of Stanford University, Dr. Andrew South of the Department of Dermatology of Thomas Jefferson University and Dr. John McGrath of King’s College London.</w:t>
      </w:r>
    </w:p>
    <w:p>
      <w:pPr>
        <w:spacing w:after="0" w:line="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success also depends in part on our ability to protect our intellectual property, including the STAR-D platform. We have adopted a strategy of seeking patent protection in the United States and abroad where appropriate with respect to certain of our technologies relating to our products and process. As of June 9, 2017, we are actively prosecuting a patent application in front of the USPTO directed to our products and processes related to the treatment of DEB, and a corresponding international patent application has been filed in accordance with the Paris Cooperation Treaty. Additionally, a patent application has been filed with the USPTO seeking protection for our core STAR-D viral platform technologies. We continue to actively develop our portfolio through the filing of new patent applications, divisionals and continuations relating to our technologies as we deem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we are the first biotechnology company to seek to use gene therapy to develop products for dermatological indications that can be used without requiring individually customized treatment, which we refer to as an “off-the-shelf” treatment. We believe our organization and technology benefit from a singular set of strengths that will allow us to create and establish a leadership position in developing gene therapy treatments for dermatological indications. These strengths include:</w:t>
      </w:r>
    </w:p>
    <w:p>
      <w:pPr>
        <w:spacing w:after="0" w:line="92"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first mover advantage in dermatological gene therapy with regards to:</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off-the-shelf gene therapy product candidate, and</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Topical gene therapy application.</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STAR-D platform, a proprietary, integrated gene therapy platform comprised of a library of optimized HSV-1 vectors and their complimenting cell lines with higher and more durable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277" w:lineRule="auto"/>
        <w:rPr>
          <w:sz w:val="20"/>
          <w:szCs w:val="20"/>
          <w:color w:val="auto"/>
        </w:rPr>
      </w:pPr>
      <w:r>
        <w:rPr>
          <w:rFonts w:ascii="Arial" w:cs="Arial" w:eastAsia="Arial" w:hAnsi="Arial"/>
          <w:sz w:val="18"/>
          <w:szCs w:val="18"/>
          <w:color w:val="auto"/>
        </w:rPr>
        <w:t>expression, lower immune response and improved manufacturability when compared with other viral vectors currently being used in dermatological gene therapy.</w:t>
      </w:r>
    </w:p>
    <w:p>
      <w:pPr>
        <w:spacing w:after="0" w:line="76" w:lineRule="exact"/>
        <w:rPr>
          <w:sz w:val="20"/>
          <w:szCs w:val="20"/>
          <w:color w:val="auto"/>
        </w:rPr>
      </w:pPr>
    </w:p>
    <w:p>
      <w:pPr>
        <w:ind w:left="660" w:right="2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significant affinity to the skin and high payload capacity of our HSV-1 viral vector, which will allow us to efficiently deliver single and multiple genes to treat orphan and other dermatological indications.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proprietary process for both upstream (vector production) and downstream (purification) portions of the manufacturing process, which positions us to maximize scalability, quality and reliability.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scientific team with expertise in the HSV-1 viral vector.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management team with a track record in developing drugs from research to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objective is to become a leader in developing and commercializing gene therapy treatments for dermatological indications. The strategy we intend to employ to accomplish this objective is to initially focus on dermatological indications in the rare or orphan disease space, build out and leverage our in-house manufacturing capabilities, and then leverage our STAR-D platform to develop, manufacture and commercialize treatments for non-orphan indications within dermatology.</w:t>
      </w:r>
    </w:p>
    <w:p>
      <w:pPr>
        <w:spacing w:after="0" w:line="88" w:lineRule="exact"/>
        <w:rPr>
          <w:sz w:val="20"/>
          <w:szCs w:val="20"/>
          <w:color w:val="auto"/>
        </w:rPr>
      </w:pPr>
    </w:p>
    <w:p>
      <w:pPr>
        <w:ind w:left="660" w:hanging="206"/>
        <w:spacing w:after="0" w:line="277"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Why dermatology</w:t>
      </w:r>
      <w:r>
        <w:rPr>
          <w:rFonts w:ascii="Arial" w:cs="Arial" w:eastAsia="Arial" w:hAnsi="Arial"/>
          <w:sz w:val="17"/>
          <w:szCs w:val="17"/>
          <w:color w:val="auto"/>
        </w:rPr>
        <w:t>—We believe the characteristics of our STAR-D platform are ideal for application in dermatology because of HSV-1’s high</w:t>
      </w:r>
      <w:r>
        <w:rPr>
          <w:rFonts w:ascii="Arial" w:cs="Arial" w:eastAsia="Arial" w:hAnsi="Arial"/>
          <w:sz w:val="17"/>
          <w:szCs w:val="17"/>
          <w:b w:val="1"/>
          <w:bCs w:val="1"/>
          <w:color w:val="auto"/>
        </w:rPr>
        <w:t xml:space="preserve"> </w:t>
      </w:r>
      <w:r>
        <w:rPr>
          <w:rFonts w:ascii="Arial" w:cs="Arial" w:eastAsia="Arial" w:hAnsi="Arial"/>
          <w:sz w:val="17"/>
          <w:szCs w:val="17"/>
          <w:color w:val="auto"/>
        </w:rPr>
        <w:t>tropism, or natural affinity, for skin cells. This allows the viral vector to penetrate skin cells more efficiently than other gene therapy vectors, and makes topical delivery of gene therapy possible. Dermatology is also attractive because treatments for diseases affecting the skin have clearly defined, objective clinical endpoints with validated measurement tools that are accepted by the FDA. We believe these clearly defined endpoints will help accelerate the process of clinical development and regulatory approval for our dermatological products.</w:t>
      </w:r>
    </w:p>
    <w:p>
      <w:pPr>
        <w:spacing w:after="0" w:line="73" w:lineRule="exact"/>
        <w:rPr>
          <w:rFonts w:ascii="Arial" w:cs="Arial" w:eastAsia="Arial" w:hAnsi="Arial"/>
          <w:sz w:val="17"/>
          <w:szCs w:val="17"/>
          <w:color w:val="auto"/>
        </w:rPr>
      </w:pPr>
    </w:p>
    <w:p>
      <w:pPr>
        <w:ind w:left="660" w:hanging="206"/>
        <w:spacing w:after="0" w:line="29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Why rare or orphan diseases</w:t>
      </w:r>
      <w:r>
        <w:rPr>
          <w:rFonts w:ascii="Arial" w:cs="Arial" w:eastAsia="Arial" w:hAnsi="Arial"/>
          <w:sz w:val="16"/>
          <w:szCs w:val="16"/>
          <w:color w:val="auto"/>
        </w:rPr>
        <w:t>—We believe there is significant unmet medical need for rare or orphan diseases, because the patient populations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sizeable enough to attract the attention of large commercial entities. In contrast, we believe there are advantages to developing in this space, including that these diseases are genetic and frequently affect children, and so have been studied extensively and have concentrated, supportive networks of KOLs and patient advocacy groups. We have established strong relationships with such KOLs which we believe will aid us in obtaining data more rapidly and assist with the development and regulatory approval process. In addition, rare and orphan diseases, particularly monogenic ones like DEB, have defined clinical endpoints that have been validated by the FDA. There are also regulatory designations such as the FDA’s orphan drug designation, breakthrough drug designation, fast track drug designation and rare pediatric disease designation, one or more of which we believe, if successfully obtained, can provide certain regulatory and commercial advantages and incentives for developing treatments in this space. If we are able to successfully achieve one or more of these designations, we believe this will aid in the commercialization of our product candidates.</w:t>
      </w:r>
    </w:p>
    <w:p>
      <w:pPr>
        <w:spacing w:after="0" w:line="65" w:lineRule="exact"/>
        <w:rPr>
          <w:rFonts w:ascii="Arial" w:cs="Arial" w:eastAsia="Arial" w:hAnsi="Arial"/>
          <w:sz w:val="16"/>
          <w:szCs w:val="16"/>
          <w:color w:val="auto"/>
        </w:rPr>
      </w:pPr>
    </w:p>
    <w:p>
      <w:pPr>
        <w:ind w:left="660" w:right="40" w:hanging="206"/>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How we will manufacture</w:t>
      </w:r>
      <w:r>
        <w:rPr>
          <w:rFonts w:ascii="Arial" w:cs="Arial" w:eastAsia="Arial" w:hAnsi="Arial"/>
          <w:sz w:val="18"/>
          <w:szCs w:val="18"/>
          <w:color w:val="auto"/>
        </w:rPr>
        <w:t>—While we currently outsource our manufacturing, we believe there is value in maintaining control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We intend to continue to devote substantial resources to developing the STAR-D platform and bringing our scalable manufacturing process in-house. Because of the high demand for contract manufacturing in gene therapy, we believe the focus on expanding the STAR-D platform and establishing current good manufacturing practices, or cGMP, manufacturing in-house will ultimately accelerate the process of regulatory approval for our products.</w:t>
      </w:r>
    </w:p>
    <w:p>
      <w:pPr>
        <w:spacing w:after="0" w:line="89" w:lineRule="exact"/>
        <w:rPr>
          <w:rFonts w:ascii="Arial" w:cs="Arial" w:eastAsia="Arial" w:hAnsi="Arial"/>
          <w:sz w:val="18"/>
          <w:szCs w:val="18"/>
          <w:color w:val="auto"/>
        </w:rPr>
      </w:pPr>
    </w:p>
    <w:p>
      <w:pPr>
        <w:ind w:left="660" w:right="80" w:hanging="206"/>
        <w:spacing w:after="0" w:line="28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How we can expand</w:t>
      </w:r>
      <w:r>
        <w:rPr>
          <w:rFonts w:ascii="Arial" w:cs="Arial" w:eastAsia="Arial" w:hAnsi="Arial"/>
          <w:sz w:val="18"/>
          <w:szCs w:val="18"/>
          <w:color w:val="auto"/>
        </w:rPr>
        <w:t>—We believe we can eventually expand beyond rare and orphan diseases by leveraging our STAR-D platform and expertise in</w:t>
      </w:r>
      <w:r>
        <w:rPr>
          <w:rFonts w:ascii="Arial" w:cs="Arial" w:eastAsia="Arial" w:hAnsi="Arial"/>
          <w:sz w:val="18"/>
          <w:szCs w:val="18"/>
          <w:b w:val="1"/>
          <w:bCs w:val="1"/>
          <w:color w:val="auto"/>
        </w:rPr>
        <w:t xml:space="preserve"> </w:t>
      </w:r>
      <w:r>
        <w:rPr>
          <w:rFonts w:ascii="Arial" w:cs="Arial" w:eastAsia="Arial" w:hAnsi="Arial"/>
          <w:sz w:val="18"/>
          <w:szCs w:val="18"/>
          <w:color w:val="auto"/>
        </w:rPr>
        <w:t>viral vector selection and design, physical vector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55" w:lineRule="auto"/>
        <w:rPr>
          <w:sz w:val="20"/>
          <w:szCs w:val="20"/>
          <w:color w:val="auto"/>
        </w:rPr>
      </w:pPr>
      <w:r>
        <w:rPr>
          <w:rFonts w:ascii="Arial" w:cs="Arial" w:eastAsia="Arial" w:hAnsi="Arial"/>
          <w:sz w:val="18"/>
          <w:szCs w:val="18"/>
          <w:color w:val="auto"/>
        </w:rPr>
        <w:t>delivery and vector manufacturing to pivot into other gene therapy treatments for dermatological applications. For example, we believe that the large payload capacity of the viral “backbone” in the STAR-D platform will allow us to deliver multiple genes and other effectors using the platform and afford us an opportunity to treat non-monogenic diseases like psoriasis, as well as conditions which are not necessarily the result of an inherited genetic defect, such as chronic wounds. If we are able to successfully develop and commercialize products to treat non-orphan dermatological diseases, we intend to seek collaborative alliances towards commercializing these therapies among the broader population of patients in these indications.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Gene Therapy</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Many diseases have a genetic aspect whereby a mutated gene linked to a disease is passed down from generation to generation. Genes produce proteins that perform a vast array of functions within all living organisms, through a process called gene expression. A mutation, or alteration, in the gene or in sequences that control the expression of that gene can cause aberrations in intracellular protein production, which can cause disease. Gene therapy seeks to introduce a functional copy of the defective gene into a patient’s own cells, a process called gene transfer. Gene therapy thereby has the potential to change the way patients are treated by correcting the underlying genetic defect that is the cause of their disease, rather than offering solutions that only address their symptoms.</w:t>
      </w:r>
    </w:p>
    <w:p>
      <w:pPr>
        <w:spacing w:after="0" w:line="8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gene transfer process, a functional gene is delivered and incorporated into a patient’s cells through a delivery system called a vector, which are most commonly based on naturally occurring viruses that have been modified to take advantage of the virus’ natural ability to introduce genes into cells. However, unlike naturally occurring viruses, which replicate following infection of a target cell and have the capacity to infect new cells, our viral vectors are modified to be non-replicating by deleting that portion of the viral genome responsible for replication. Gene transfer using a viral vector is called transduction, and the resulting gene-modified cells are described as transduced cells.</w:t>
      </w:r>
    </w:p>
    <w:p>
      <w:pPr>
        <w:spacing w:after="0" w:line="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 growing body of gene therapy-based clinical data, the establishment of regulatory guidelines to govern the development and approval of gene therapy products and increased investment from the biopharmaceutical industry suggest that gene therapy is being increasingly accepted as an important new therapeutic modality for patients with unmet medical need. We believe that if successful, our lead product candidate, KB103, together with the STAR-D platform, will help bring gene therapy to the treatment of dermatological indications. To date, only one gene therapy product has received marketing authorization from the FDA, and only two gene therapy products have received marketing authorization from the EMA.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STAR-D Gene Therapy Platform</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believe that certain inherent features of the HSV-1 virus, combined with our ability to strategically modify the virus in the form we employ as our gene delivery backbone, provides our proprietary gene therapy platform, which we refer to as the Skin TARgeted Delivery platform, or STAR-D platform, with several advantages over other viral vector platforms for use in dermatological applications, including the following:</w:t>
      </w:r>
    </w:p>
    <w:p>
      <w:pPr>
        <w:spacing w:after="0" w:line="67" w:lineRule="exact"/>
        <w:rPr>
          <w:sz w:val="20"/>
          <w:szCs w:val="20"/>
          <w:color w:val="auto"/>
        </w:rPr>
      </w:pPr>
    </w:p>
    <w:p>
      <w:pPr>
        <w:ind w:left="660" w:hanging="206"/>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Non-Integrating Nature</w:t>
      </w:r>
      <w:r>
        <w:rPr>
          <w:rFonts w:ascii="Arial" w:cs="Arial" w:eastAsia="Arial" w:hAnsi="Arial"/>
          <w:sz w:val="18"/>
          <w:szCs w:val="18"/>
          <w:color w:val="auto"/>
        </w:rPr>
        <w:t>: Conceptually, our STAR-D platform is similar in its simplicity, safety, and ease of use to other non-integrating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platforms like Adeno-Associated Virus, or AAV. Upon entry into cells, the HSV-1 vector persists as an episomal unit in the nucleus, meaning it remains physically separate from the host cell chromosome. Other vectors we are aware of currently being used in the development of gene therapy treatments for dermatological conditions, such as lentiviral and retroviral vectors, integrate into the host cell DNA in order to achieve gene expression. Integration into the host cell DNA carries the risk of disrupting host genes, and consequently can lead to a risk of causing cancer, or oncogenesis. In contrast, a non-integrating vector such as our HSV-1 vector does not carry the risk of disrupting the expression of host cell genes and the cancer-causing risks such disruptions could create.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hanging="206"/>
        <w:spacing w:after="0" w:line="25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Payload Capacity</w:t>
      </w:r>
      <w:r>
        <w:rPr>
          <w:rFonts w:ascii="Arial" w:cs="Arial" w:eastAsia="Arial" w:hAnsi="Arial"/>
          <w:sz w:val="18"/>
          <w:szCs w:val="18"/>
          <w:color w:val="auto"/>
        </w:rPr>
        <w:t>: HSV-1 is a large virus, approximately 150 kilobase, or Kb, pairs of DNA in size. We have made strategic deletions within this</w:t>
      </w:r>
      <w:r>
        <w:rPr>
          <w:rFonts w:ascii="Arial" w:cs="Arial" w:eastAsia="Arial" w:hAnsi="Arial"/>
          <w:sz w:val="18"/>
          <w:szCs w:val="18"/>
          <w:b w:val="1"/>
          <w:bCs w:val="1"/>
          <w:color w:val="auto"/>
        </w:rPr>
        <w:t xml:space="preserve"> </w:t>
      </w:r>
      <w:r>
        <w:rPr>
          <w:rFonts w:ascii="Arial" w:cs="Arial" w:eastAsia="Arial" w:hAnsi="Arial"/>
          <w:sz w:val="18"/>
          <w:szCs w:val="18"/>
          <w:color w:val="auto"/>
        </w:rPr>
        <w:t>genome to remove critical “immediate early”, or IE, genes. These IE genes are required for expression of most of the downstream genes that allow the HSV-1 virus to replicate and destroy host cells. Deletion of these IE genes inhibits expression of most of the viral proteins, making the resulting viral vector replication-deficient and non-toxic. These deletions also enable the vector to easily accommodate a payload of 30Kb or greater without any significant impact on yield or titer. In KB103, we have successfully inserted two functional copies of the complete ~9Kb human COL7A1 gene. In contrast, packaging capacity for most other viral vectors being used in dermatological indications is under 8Kb which limits their ability to package large genetic materials. In addition, we believe the high payload capacity of our viral vector will allow us to insert single and multiple genes and other effectors, allowing for the potential treatment of non-monogenic dermatological conditions such as psoriasis, atopic eczema and chronic wounds.</w:t>
      </w:r>
    </w:p>
    <w:p>
      <w:pPr>
        <w:spacing w:after="0" w:line="94" w:lineRule="exact"/>
        <w:rPr>
          <w:rFonts w:ascii="Arial" w:cs="Arial" w:eastAsia="Arial" w:hAnsi="Arial"/>
          <w:sz w:val="18"/>
          <w:szCs w:val="18"/>
          <w:color w:val="auto"/>
        </w:rPr>
      </w:pPr>
    </w:p>
    <w:p>
      <w:pPr>
        <w:ind w:left="660" w:right="60" w:hanging="206"/>
        <w:spacing w:after="0" w:line="26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Skin Tropism</w:t>
      </w:r>
      <w:r>
        <w:rPr>
          <w:rFonts w:ascii="Arial" w:cs="Arial" w:eastAsia="Arial" w:hAnsi="Arial"/>
          <w:sz w:val="18"/>
          <w:szCs w:val="18"/>
          <w:color w:val="auto"/>
        </w:rPr>
        <w:t>: Poor infection of skin epithelia has remained a major hurdle for direct delivery of most viral vectors. HSV-1 has a natural affinity, or</w:t>
      </w:r>
      <w:r>
        <w:rPr>
          <w:rFonts w:ascii="Arial" w:cs="Arial" w:eastAsia="Arial" w:hAnsi="Arial"/>
          <w:sz w:val="18"/>
          <w:szCs w:val="18"/>
          <w:b w:val="1"/>
          <w:bCs w:val="1"/>
          <w:color w:val="auto"/>
        </w:rPr>
        <w:t xml:space="preserve"> </w:t>
      </w:r>
      <w:r>
        <w:rPr>
          <w:rFonts w:ascii="Arial" w:cs="Arial" w:eastAsia="Arial" w:hAnsi="Arial"/>
          <w:sz w:val="18"/>
          <w:szCs w:val="18"/>
          <w:color w:val="auto"/>
        </w:rPr>
        <w:t>tropism, for the skin epithelium; therefore our viral vector penetrates skin cells much more efficiently than other viral vectors, resulting in transduction efficiencies or cell penetration as high as 95% in cell-based studies.</w:t>
      </w:r>
    </w:p>
    <w:p>
      <w:pPr>
        <w:spacing w:after="0" w:line="72" w:lineRule="exact"/>
        <w:rPr>
          <w:sz w:val="20"/>
          <w:szCs w:val="20"/>
          <w:color w:val="auto"/>
        </w:rPr>
      </w:pPr>
    </w:p>
    <w:p>
      <w:pPr>
        <w:ind w:left="700" w:right="60"/>
        <w:spacing w:after="0" w:line="270" w:lineRule="auto"/>
        <w:rPr>
          <w:sz w:val="20"/>
          <w:szCs w:val="20"/>
          <w:color w:val="auto"/>
        </w:rPr>
      </w:pPr>
      <w:r>
        <w:rPr>
          <w:rFonts w:ascii="Arial" w:cs="Arial" w:eastAsia="Arial" w:hAnsi="Arial"/>
          <w:sz w:val="17"/>
          <w:szCs w:val="17"/>
          <w:color w:val="auto"/>
        </w:rPr>
        <w:t>This efficient cell infection or penetration ability, along with the high payload capacity of our vector discussed above, are responsible for the high levels of transgene expression in animal models. In addition, these factors are critical contributors to our ability to create an off-the-shelf gene therapy treatment where others are taking autologous approaches. Because the genes that cause many dermatological diseases are quite large, many of our competitors can only fit a single gene, or in some cases may need to manipulate the genetic material in order to fit the limited payload capacity of their vectors. From our review of published research, we estimate that some of these autologous gene therapy approaches may have transduction efficiencies as low as 10% in skin. In order to develop an effective treatment in the face of payload capacity and transduction limitations, they may need to introduce the therapeutic gene into a patient’s tissues or cells ex vivo to create an individual treatment, which is re-administered back to the patient once the gene-modified tissues have achieved a sufficient level of gene expression. The greater payload capacity of our vector and the high transduction efficiencies achieved allow us to deliver a full gene directly to any patient’s tissues for in vivo gene expression without additional manipulation.</w:t>
      </w:r>
    </w:p>
    <w:p>
      <w:pPr>
        <w:spacing w:after="0" w:line="79" w:lineRule="exact"/>
        <w:rPr>
          <w:sz w:val="20"/>
          <w:szCs w:val="20"/>
          <w:color w:val="auto"/>
        </w:rPr>
      </w:pPr>
    </w:p>
    <w:p>
      <w:pPr>
        <w:ind w:left="660" w:right="20" w:hanging="206"/>
        <w:spacing w:after="0" w:line="274"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Immunogenicity</w:t>
      </w:r>
      <w:r>
        <w:rPr>
          <w:rFonts w:ascii="Arial" w:cs="Arial" w:eastAsia="Arial" w:hAnsi="Arial"/>
          <w:sz w:val="17"/>
          <w:szCs w:val="17"/>
          <w:color w:val="auto"/>
        </w:rPr>
        <w:t>: One of the major challenges with other viral vector platforms is that the host immune system may recognize them as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bodies and launch a robust immune response, resulting in toxicity and rapid removal of the virus. Wild type HSV-1 is known to persist in the body by becoming latent and hiding from the immune system in the cell bodies of neurons. We have harnessed the natural ability of HSV-1 to evade host-mediated immunogenicity, while removing specific viral elements that exacerbate the host immunity, thus making the viral vector safer and allowing for repeat administration as needed to achieve durability of effect. Because the tendency of the viral vector to invoke an immune response is low, the ability of the HSV-1 vector to effectively deliver therapeutic genes is enhanced.</w:t>
      </w:r>
    </w:p>
    <w:p>
      <w:pPr>
        <w:spacing w:after="0" w:line="79" w:lineRule="exact"/>
        <w:rPr>
          <w:rFonts w:ascii="Arial" w:cs="Arial" w:eastAsia="Arial" w:hAnsi="Arial"/>
          <w:sz w:val="17"/>
          <w:szCs w:val="17"/>
          <w:color w:val="auto"/>
        </w:rPr>
      </w:pPr>
    </w:p>
    <w:p>
      <w:pPr>
        <w:ind w:left="660" w:hanging="206"/>
        <w:spacing w:after="0" w:line="31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Stability</w:t>
      </w:r>
      <w:r>
        <w:rPr>
          <w:rFonts w:ascii="Arial" w:cs="Arial" w:eastAsia="Arial" w:hAnsi="Arial"/>
          <w:sz w:val="16"/>
          <w:szCs w:val="16"/>
          <w:color w:val="auto"/>
        </w:rPr>
        <w:t>: HSV-1 is extremely stable and resistant to degradation by shear, solvents and enzymes, facilitating purification and final formulation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our product candidates. These characteristics of HSV-1 provide a stability advantage to our KB103 product candidate. Although frozen for long-term storage, it is also stable under refrigerated conditions for short-term storage and shipment, and stable over several freeze-thaw cycles.</w:t>
      </w:r>
    </w:p>
    <w:p>
      <w:pPr>
        <w:spacing w:after="0" w:line="47" w:lineRule="exact"/>
        <w:rPr>
          <w:rFonts w:ascii="Arial" w:cs="Arial" w:eastAsia="Arial" w:hAnsi="Arial"/>
          <w:sz w:val="16"/>
          <w:szCs w:val="16"/>
          <w:color w:val="auto"/>
        </w:rPr>
      </w:pPr>
    </w:p>
    <w:p>
      <w:pPr>
        <w:ind w:left="660" w:right="20" w:hanging="206"/>
        <w:spacing w:after="0" w:line="26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Reproducible Manufacturing and Scalability</w:t>
      </w:r>
      <w:r>
        <w:rPr>
          <w:rFonts w:ascii="Arial" w:cs="Arial" w:eastAsia="Arial" w:hAnsi="Arial"/>
          <w:sz w:val="18"/>
          <w:szCs w:val="18"/>
          <w:color w:val="auto"/>
        </w:rPr>
        <w:t>: Successful production of viral vectors involves two steps: (i) the ‘upstream’ process, which yields a</w:t>
      </w:r>
      <w:r>
        <w:rPr>
          <w:rFonts w:ascii="Arial" w:cs="Arial" w:eastAsia="Arial" w:hAnsi="Arial"/>
          <w:sz w:val="18"/>
          <w:szCs w:val="18"/>
          <w:b w:val="1"/>
          <w:bCs w:val="1"/>
          <w:color w:val="auto"/>
        </w:rPr>
        <w:t xml:space="preserve"> </w:t>
      </w:r>
      <w:r>
        <w:rPr>
          <w:rFonts w:ascii="Arial" w:cs="Arial" w:eastAsia="Arial" w:hAnsi="Arial"/>
          <w:sz w:val="18"/>
          <w:szCs w:val="18"/>
          <w:color w:val="auto"/>
        </w:rPr>
        <w:t>bulk virus harvest; and (ii) the ‘downstream’ process, which involves purification and concentration of the clinical product. Successful and reproducible execution of both processes is critical for clinical manufacturing and scale-up. Our scientific team</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80"/>
        <w:spacing w:after="0" w:line="277" w:lineRule="auto"/>
        <w:rPr>
          <w:sz w:val="20"/>
          <w:szCs w:val="20"/>
          <w:color w:val="auto"/>
        </w:rPr>
      </w:pPr>
      <w:r>
        <w:rPr>
          <w:rFonts w:ascii="Arial" w:cs="Arial" w:eastAsia="Arial" w:hAnsi="Arial"/>
          <w:sz w:val="18"/>
          <w:szCs w:val="18"/>
          <w:color w:val="auto"/>
        </w:rPr>
        <w:t>collectively has over 20 years of experience and expertise in HSV engineering and purification that has allowed us to successfully optimize our HSV-1 vector production process.</w:t>
      </w:r>
    </w:p>
    <w:p>
      <w:pPr>
        <w:spacing w:after="0" w:line="72" w:lineRule="exact"/>
        <w:rPr>
          <w:sz w:val="20"/>
          <w:szCs w:val="20"/>
          <w:color w:val="auto"/>
        </w:rPr>
      </w:pPr>
    </w:p>
    <w:p>
      <w:pPr>
        <w:ind w:left="660" w:right="80" w:hanging="206"/>
        <w:spacing w:after="0" w:line="25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Existing Regulatory Precedent</w:t>
      </w:r>
      <w:r>
        <w:rPr>
          <w:rFonts w:ascii="Arial" w:cs="Arial" w:eastAsia="Arial" w:hAnsi="Arial"/>
          <w:sz w:val="18"/>
          <w:szCs w:val="18"/>
          <w:color w:val="auto"/>
        </w:rPr>
        <w:t>: The first FDA- and EMA-approved oncolytic virus product, Imlygic</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Amgen, for treatment of melanoma, a</w:t>
      </w:r>
      <w:r>
        <w:rPr>
          <w:rFonts w:ascii="Arial" w:cs="Arial" w:eastAsia="Arial" w:hAnsi="Arial"/>
          <w:sz w:val="18"/>
          <w:szCs w:val="18"/>
          <w:b w:val="1"/>
          <w:bCs w:val="1"/>
          <w:color w:val="auto"/>
        </w:rPr>
        <w:t xml:space="preserve"> </w:t>
      </w:r>
      <w:r>
        <w:rPr>
          <w:rFonts w:ascii="Arial" w:cs="Arial" w:eastAsia="Arial" w:hAnsi="Arial"/>
          <w:sz w:val="18"/>
          <w:szCs w:val="18"/>
          <w:color w:val="auto"/>
        </w:rPr>
        <w:t>skin cancer, is based on a genetically engineered HSV-1 virus. To our knowledge, this is the only FDA- and EMA-approved viral vector-based drug to date although it is not a gene therapy product. Because this product also employs an HSV-1 backbone, it has created a regulatory precedent for approval of an HSV-1-based therapy. In addition, Imlygic</w:t>
      </w:r>
      <w:r>
        <w:rPr>
          <w:rFonts w:ascii="Arial" w:cs="Arial" w:eastAsia="Arial" w:hAnsi="Arial"/>
          <w:sz w:val="15"/>
          <w:szCs w:val="15"/>
          <w:color w:val="auto"/>
        </w:rPr>
        <w:t>®</w:t>
      </w:r>
      <w:r>
        <w:rPr>
          <w:rFonts w:ascii="Arial" w:cs="Arial" w:eastAsia="Arial" w:hAnsi="Arial"/>
          <w:sz w:val="18"/>
          <w:szCs w:val="18"/>
          <w:color w:val="auto"/>
        </w:rPr>
        <w:t xml:space="preserve"> is a chronic therapy, given bi-weekly, which provides support for the use of an HSV-1 backbone in chronic gene therapy of the type we are developing.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Dystrophic Epidermolysis Bullosa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Dystrophic epidermolysis bullosa, or DEB, belongs to a group of genetic skin diseases known more broadly as epidermolysis bullosa, or EB, characterized by genetic defects of structural proteins of the skin, resulting in skin fragility and the formation of blisters. Blisters form as a result of rubbing, trauma or even in some cases from slight contact such as a simple hug. The subtypes of EB are distinguished by the location of the blister in the skin. DEB is associated with mutations in the gene coding for type VII collagen, or COL7, a major component of the anchoring fibrils which anchor the top layer of skin, called the epidermis, to an underlying layer, called the dermis, and provide structural adhesion in a normal individual. The lack of COL7 in DEB patients causes blisters to occur in the dermis as a result of separation from the epidermis. Genetic linkage studies have identified COL7A1 as the gene responsible for DEB. Over 200 distinct mutations in COL7A1 have been identified in DEB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13985" cy="14662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Figure 1. Healthy skin vs. DEB patient skin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most severe form of DEB is recessive DEB, or RDEB, in which both COL7 and anchoring fibrils are severely diminished in the patient’s skin due to null mutations in the COL7A1 gene. As a result, RDEB is characterized by severe skin blistering, extremely fragile skin, mutilating scarring of the hands and feet, joint contractures, strictures of the esophagus, and often, eventually the development of aggressive squamous cell carcinomas which may shorten the patient’s life. DEB also occurs in the form of dominant DEB, or DDEB, which is considered to be a more mild form of DEB. In DDEB blistering is often limited to the hands, feet, knees, and elbows, and often improves somewhat with age.</w:t>
      </w:r>
    </w:p>
    <w:p>
      <w:pPr>
        <w:spacing w:after="0" w:line="64"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Currently, there is no effective therapy for any form of DEB, and RDEB patients have a low life expectancy. Nearly 10% of RDEB patients die before the age of 10, almost 40% die by the age of 20, and over 70% die before the age of 30. Persistent blistering begins at birth and contributes to the high mortality risk due to bacterial infection. In a study of 41 RDEB patients, the infectious causes of pneumonia and sepsis resulted in death in close to 15% and 10% of cases, respectively. Patients who survive bacterial sepsis during early infancy are at a high risk of later developing more severe complications such as growth retardation due to gastrointestinal involvement, multifactorial anemia, esophageal strictures, corneal scarring and/or progressive blindness, renal failure, progressive hand and foot deformities, muscle contractures that restrict movement, anemia, esophageal strictures, rapid tooth decay, nail deformities,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hair loss. The onset of aggressive squamous cell carcinoma, sepsis or malnutrition due to an inability or unwillingness to eat due to mouth or esophagus involvement, may also result in death among these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Treatments for DEB</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 present, there are no FDA- or EMA-approved treatments for DEB. The management of DEB currently consists of palliative care, which generally consists of prevention of mechanical forces that produce new blisters, wound care, nutritional support, and infection control, all of which help treat the symptoms but not the causes of DEB. We estimate that the annual cost of palliative care for a DEB patient is in the range of approximately $200,000 to $400,000 per year. Wound care usually includes treatment of new blisters by lancing and draining. Wounds are then dressed with a non-adherent material, covered with padding for stability and protection, and secured with an elastic wrap for integrity. Due to the increased risk of bacterial resistance, topical antibiotic ointments and antimicrobial dressings are typically reserved for those wounds that are colonized with bacteria and fail to heal, referred to as “critical colonization.”</w:t>
      </w:r>
    </w:p>
    <w:p>
      <w:pPr>
        <w:spacing w:after="0" w:line="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Individuals with DEB have increased caloric and protein needs due to the increased energy utilized in wound healing. Involvement of the digestive system in RDEB may limit nutritional intake. Infants and children with RDEB may require nutritional support, including a gastrostomy feeding tube. Anemia is typically treated with iron supplements and transfusions as needed. Other nutritional supplements may include calcium, vitamin D, selenium, carnitine and zinc.</w:t>
      </w:r>
    </w:p>
    <w:p>
      <w:pPr>
        <w:spacing w:after="0" w:line="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Surveillance is important for individuals with DEB. Biopsies of abnormal-appearing wounds that do not heal may be recommended in some types of DEB due to predisposition to squamous cell carcinoma, beginning in the second decade of life. Screening for deficiencies of iron, zinc, vitamin D, selenium, and carnitine is typically recommended after the first year of life. Routine echocardiograms are recommended to identify dilated cardiomyopathy, and bone mineral density studies are recommended to identify osteoporosis. It is also typically recommended to avoid activities and bandages (including all adhesives) that may traumatize the skin.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KB-103 for the Treatment of DEB</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gene therapy approach uses a modified HSV-1 vector designed to deliver fully functional COL7A1 gene into the patient’s skin cells. Upon direct delivery to the skin, KB103 can efficiently transduce both keratinocytes and fibroblasts. Following entry of KB103 into the cell, the drug is transported down microtubules to the nucleus, and the viral genome is deposited into the nucleus. Once in the nucleus, it recruits the host cellular machinery to initiate transcription of COL7A1. The COL7A1 transcripts allow for production of a precursor protein, Procollagen 7, that is secreted by the cell and processed by enzymes to remove extra protein segments from the ends. Once these molecules are processed, they arrange themselves into long, thin bundles of mature COL7 that form anchoring fibrils. The anchoring fibrils hold the epidermis and dermis together and are essential for maintaining the integrity of the skin.</w:t>
      </w:r>
    </w:p>
    <w:p>
      <w:pPr>
        <w:spacing w:after="0" w:line="5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high payload capacity of the HSV-1 vector allows us to insert two copies of the COL7A1 gene into each viral vector backbone, facilitating high expression of Procollagen 7. Current autologous therapies in development for DEB use lentivirus or retrovirus which have limited payload capacity and low transduction efficiencies. In addition, those viral vectors can target either keratinocytes or fibroblasts for gene delivery, but not both. In order to develop an effective treatment in the face of these limitations, autologous approaches treat the patient’s tissues or cells ex vivo for re-administration once sufficient gene expression is achieved, which leads to an extremely expensive, invasive and time consuming treatment requiring highly sophisticated medical teams and procedures. We believe that the limited payload capacity of lentivirus and retrovirus along with low transduction efficiencies will make it very difficult, if not impossible, to develop off-the-shelf gene therapies for DEB with these viral vectors. In contrast, KB103 can transduce not only keratinocytes and fibroblasts but also all skin cells that it comes in contact with 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produce optimum therapeutic levels of secreted COL7 protein. It has been shown in clinical and non- clinical studies that functional and durable replacement of COL7 protein is necessary and sufficient to correct the debilitating skin disease that inflicts these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57150</wp:posOffset>
            </wp:positionV>
            <wp:extent cx="5213985" cy="2675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2. KB103 transduces keratinocytes and fibroblasts, supplying functional COL7</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persistence of KB103 in the skin depends on the rate of turnover of the cells where it resides. The vector has been engineered to be able to evade the host immune response and persist for the life of the cell. Additionally, we have also optimized its design to be safe and nontoxic to both dividing and non-dividing cells so that it can be reapplied as often as required.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Beyond the advantages surrounding the mechanism of action of KB103, it also has practical advantages as a therapy over autologous approaches. We believe that the major drawbacks of autologous therapies are the need for highly trained dermatologists, the high cost of treatment and the need for sophisticated equipment setup, including possible hospitalization. Additionally, because autologous treatments require time-consuming processing of a patient’s own cells and tissues, there can be a significant lag of six months or more between diagnosis and commencement of treatment. As a result, we believe an off-the-shelf, non-invasive treatment such as KB103 will, if successful, be an effective alternative for treating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126365</wp:posOffset>
            </wp:positionV>
            <wp:extent cx="4425315" cy="2675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2531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20"/>
        <w:spacing w:after="0"/>
        <w:rPr>
          <w:sz w:val="20"/>
          <w:szCs w:val="20"/>
          <w:color w:val="auto"/>
        </w:rPr>
      </w:pPr>
      <w:r>
        <w:rPr>
          <w:rFonts w:ascii="Arial" w:cs="Arial" w:eastAsia="Arial" w:hAnsi="Arial"/>
          <w:sz w:val="18"/>
          <w:szCs w:val="18"/>
          <w:i w:val="1"/>
          <w:iCs w:val="1"/>
          <w:color w:val="auto"/>
        </w:rPr>
        <w:t>Figure 3. Krystal’s approach compared to autologous therapies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Proof of Concept for KB103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performed several preclinical tests and animal studies on KB103 to date. The studies described below were conducted between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May 2017 and were evaluated for consistency and reproducibility. The results from these studies suggest the following:</w:t>
      </w:r>
    </w:p>
    <w:p>
      <w:pPr>
        <w:spacing w:after="0" w:line="112" w:lineRule="exact"/>
        <w:rPr>
          <w:sz w:val="20"/>
          <w:szCs w:val="20"/>
          <w:color w:val="auto"/>
        </w:rPr>
      </w:pPr>
    </w:p>
    <w:p>
      <w:pPr>
        <w:jc w:val="both"/>
        <w:ind w:left="660" w:right="20" w:hanging="206"/>
        <w:spacing w:after="0" w:line="289"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Robust levels of COL7 in KB103 administered RDEB patient-derived fibroblasts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KB103 was evaluated for transduction efficiency, expression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functionality in 2-D and 3-D cell-based assays using normal and RDEB patient-derived fibroblasts, or HDFs. RDEB patient HDFs were infected with Multiplicity of Infection, or MOI, of 0.3, 1 or 3 viral particles per cell of KB103 to evaluate vector dose-dependent expression and toxicity.</w:t>
      </w:r>
    </w:p>
    <w:p>
      <w:pPr>
        <w:spacing w:after="0" w:line="1" w:lineRule="exact"/>
        <w:rPr>
          <w:rFonts w:ascii="Arial" w:cs="Arial" w:eastAsia="Arial" w:hAnsi="Arial"/>
          <w:sz w:val="16"/>
          <w:szCs w:val="16"/>
          <w:color w:val="auto"/>
        </w:rPr>
      </w:pPr>
    </w:p>
    <w:p>
      <w:pPr>
        <w:ind w:left="660"/>
        <w:spacing w:after="0" w:line="268" w:lineRule="auto"/>
        <w:rPr>
          <w:rFonts w:ascii="Arial" w:cs="Arial" w:eastAsia="Arial" w:hAnsi="Arial"/>
          <w:sz w:val="16"/>
          <w:szCs w:val="16"/>
          <w:color w:val="auto"/>
        </w:rPr>
      </w:pPr>
      <w:r>
        <w:rPr>
          <w:rFonts w:ascii="Arial" w:cs="Arial" w:eastAsia="Arial" w:hAnsi="Arial"/>
          <w:sz w:val="17"/>
          <w:szCs w:val="17"/>
          <w:color w:val="auto"/>
        </w:rPr>
        <w:t>Transduction efficiency and COL7 expression were evaluated 48 hours post-infection using immunofluorescence, or IF, microscopy, a technique that uses fluorescent dye-conjugated antibodies that specifically bind to an antigen, to determine the localization and cellular expression of the antigens. After incubation with KB103, the HDFs were incubated with a fluorescent antibody that specifically recognizes and binds to human COL7 expressed by the cells, and imaged by fluorescence microscopy. Figure 4 below shows expected levels of endogenous COL7 in normal HDFs (N-HDFs) and the complete absence of COL7 in EB-HDFs that were not transduced with KB103 (EB-HDF, Control). In comparison, we detected high levels of COL7 expression at all three doses in fibroblasts administered with KB103. COL7 protein expression in KB103-transduced EB-HDFs was also confirmed using Western Blot, or WB, analysis to evaluate total COL7 protein levels in whole cell lysates, and qRT-PCR analysis to evaluate COL7A1 transcript levels. Figure 5 below depicting COL7A1 transcript levels highlights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60"/>
        <w:spacing w:after="0" w:line="277" w:lineRule="auto"/>
        <w:rPr>
          <w:sz w:val="20"/>
          <w:szCs w:val="20"/>
          <w:color w:val="auto"/>
        </w:rPr>
      </w:pPr>
      <w:r>
        <w:rPr>
          <w:rFonts w:ascii="Arial" w:cs="Arial" w:eastAsia="Arial" w:hAnsi="Arial"/>
          <w:sz w:val="18"/>
          <w:szCs w:val="18"/>
          <w:color w:val="auto"/>
        </w:rPr>
        <w:t>significant increase in COL7A1 expression in KB103-transduced EB HDFs relative to normal HDFs (N-HDFs) and non-transduced HDFs (EB-HDFs,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57150</wp:posOffset>
            </wp:positionV>
            <wp:extent cx="4511040" cy="22212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110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 4. KB103 expresses COL7 in fibroblasts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92075</wp:posOffset>
            </wp:positionV>
            <wp:extent cx="4536440" cy="2495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3644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Figure 5. COL7A1 expression in fibroblasts</w:t>
      </w:r>
    </w:p>
    <w:p>
      <w:pPr>
        <w:spacing w:after="0" w:line="127" w:lineRule="exact"/>
        <w:rPr>
          <w:sz w:val="20"/>
          <w:szCs w:val="20"/>
          <w:color w:val="auto"/>
        </w:rPr>
      </w:pPr>
    </w:p>
    <w:p>
      <w:pPr>
        <w:ind w:left="660" w:hanging="206"/>
        <w:spacing w:after="0" w:line="272"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Robust levels of COL7 in KB103 administered RDEB patient-derived keratinocytes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KB103 was also evaluated for transduction efficiency,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expression and functionality in 2-D and 3-D cell-based assays using normal and RDEB patient-derived keratinocytes, or HDKs. RDEB patient HDKs were infected with MOI of 0.3, 1, and 3 viral particles per cell of KB103 to evaluate vector dose-dependent expression and toxicity. Transduction efficiency and COL7 expression were evaluated 48 hours post-infection by IF microscopy, as described above. As shown in the figure below, we detected high levels of COL7 expression at all three doses in keratinocytes administered with KB103 relative to endogenous COL7 expression in normal keratinocytes (N-HDK) or complete lack of COL7 expression in EB-HDKs that did not get transduced with KB103 (EB-HDK, Control). COL7 expression was also confirmed using WB analysis to evaluate total COL7 protein levels in whole cell lysates, and qRT-PCR analysis to evaluate COL7A1 transcript levels. The COL7 panel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Figure 6 below shows actual levels of COL7 protein in lysates from RDEB and normal keratinocytes, transduced with different MOIs of KB103, and the intensity of the band is a direct representation of relative expression of COL7. No COL7 was detected in RDEB keratinocytes that received no KB103 (MOI 0, no band) and the levels of COL7 protein in normal un-transduced keratinocytes (MOI 0, no band) was below the level of detection of the assay. In comparison, high levels of COL7 expression were detected in both normal and RDEB keratinocytes transduced with KB103. Figure 7 below depicting COL7A1 transcript levels highlights the significant increase in COL7A1 expression KB103-transduced EB HDKs relative to normal HDKs (N-HDKs) and non-transduced HDKs (EB-HDKs, MOI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71755</wp:posOffset>
            </wp:positionV>
            <wp:extent cx="4476750" cy="2229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7675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6. KB103 expresses COL7 in keratinocytes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92075</wp:posOffset>
            </wp:positionV>
            <wp:extent cx="4536440" cy="23926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3644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Figure 7. COL7A1 expression in keratinocytes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20" w:hanging="206"/>
        <w:spacing w:after="0" w:line="272"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Human COL7 expressed by KB103 in fibroblasts and keratinocytes is functionally active</w:t>
      </w:r>
      <w:r>
        <w:rPr>
          <w:rFonts w:ascii="Arial" w:cs="Arial" w:eastAsia="Arial" w:hAnsi="Arial"/>
          <w:sz w:val="17"/>
          <w:szCs w:val="17"/>
          <w:color w:val="auto"/>
        </w:rPr>
        <w:t>. COL7 expressed by KB103 was confirmed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functionally active as it increased the expression of a downstream target, Lysyl Hydroxylase 3, or LH3, in RDEB keratinocytes as shown by WB analysis in Figure 8 below, which depicts actual levels of LH3. LH3 aids in post-translational modification of COL7 to form anchoring fibrils, and its expression is reduced in RDEB keratinocytes, as demonstrated by the weak intensity of the LH3 band in RDEB keratinocytes relative to normal keratinocyes at MOI 1. In contrast, the band intensity increased at all three doses in KB103-transduced keratinocytes, demonstrating a direct impact of COL7 overexpression. Glyceraldehyde-r Phosphate Dehydrogenase, or GAPDH, a cellular protein whose expression should not be impacted in RDEB skin due to COL7 loss, was utilized as a ‘loading’ control for relative quantitation of protein levels and to ensure that the same amount of cellular lysate was added to each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60960</wp:posOffset>
            </wp:positionV>
            <wp:extent cx="2332355" cy="1406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3235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Figure 8. COL7 expressed by KB103 is functionally active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Functional COL7 is also known to inhibit production of Thromospondin-1, or TSP-1, an adhesive protein which is upregulated in the stroma of squamous cell carcinoma patients, and a marker for poor prognosis in RDEB patients who have developed squamous cell carcinoma. As seen in the figure below showing actual TSP-1 levels in normal and RDEB HDFs, COL7 expressed by KB103 inhibited TSP-1 production in a dose-dependent manner, further confirming functional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67945</wp:posOffset>
            </wp:positionV>
            <wp:extent cx="2332355" cy="805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3235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Figure 9. COL7 expressed by KB103 inhibited TSP-1 production.</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Functionality was also confirmed in plate-based assays evaluating adhesion of KB103-treated RDEB keratinocytes to type 1 collagen and fibronectin. 96-well tissue-culture plates were coated with different concentrations of Collagen 1 or fibronectin - Plastic (0ug/mL), 10ug/mL, 20ug/mL, and 50ug/mL. Mock (control) transduced or KB103-transduced RDEB keratinocytes were added to the plates and incubated at 37°C for 90 minutes. Unbound cells were removed by gentle washing, and adherent cells were fixed to the plate with a paraformaldehyde fixative. The fixed cells were then stained with crystal violet, and quantified by a colorimetric assay measuring absorbance at 630 nm. The y-axis of this graph depicts optical density (OD) which is a measure of this absorbance. As evidenced by the graphs below, keratinocytes expressing COL7 bind to type 1 collagen and fibronectin in a KB103 dose-dependent manner.</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205740</wp:posOffset>
            </wp:positionV>
            <wp:extent cx="4244975" cy="2444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4497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10. Adhesion to Type 1 Collagen.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168910</wp:posOffset>
            </wp:positionV>
            <wp:extent cx="4236720" cy="2444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3672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11. Adhesion to Fibronectin.</w:t>
      </w:r>
    </w:p>
    <w:p>
      <w:pPr>
        <w:spacing w:after="0" w:line="127" w:lineRule="exact"/>
        <w:rPr>
          <w:sz w:val="20"/>
          <w:szCs w:val="20"/>
          <w:color w:val="auto"/>
        </w:rPr>
      </w:pPr>
    </w:p>
    <w:p>
      <w:pPr>
        <w:ind w:left="660" w:hanging="206"/>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Confirmation of human COL7 in 3-D organotypic cultures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of expression and functionality in 2-D assays prompted assessment in</w:t>
      </w:r>
      <w:r>
        <w:rPr>
          <w:rFonts w:ascii="Arial" w:cs="Arial" w:eastAsia="Arial" w:hAnsi="Arial"/>
          <w:sz w:val="18"/>
          <w:szCs w:val="18"/>
          <w:b w:val="1"/>
          <w:bCs w:val="1"/>
          <w:color w:val="auto"/>
        </w:rPr>
        <w:t xml:space="preserve"> </w:t>
      </w:r>
      <w:r>
        <w:rPr>
          <w:rFonts w:ascii="Arial" w:cs="Arial" w:eastAsia="Arial" w:hAnsi="Arial"/>
          <w:sz w:val="18"/>
          <w:szCs w:val="18"/>
          <w:color w:val="auto"/>
        </w:rPr>
        <w:t>3-D organotypic cultures composed of RDEB fibroblasts and keratinocytes transduced with KB103. We believe that our 3-D organotypic culture study is the first study to show that KB103 infects both keratinocytes and fibroblasts and secretes COL7 from the dermis and the epidermis to optimize deposition of COL7 at the basement membrane zone, or BMZ. We believe that most ex-vivo viral approaches are only able to target either fibroblasts or keratinocytes due to limitations of their viral vector that result in inefficient transduction and/or difficulties in selection and expansion of either cell type. Our data suggests that KB103, due to its ability to transduce both cell types, has the potential to achieve therapeutic levels of COL7 following direct application to the skin.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60" w:right="300" w:hanging="206"/>
        <w:spacing w:after="0" w:line="28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Confirmation of COL7 expression in animal studies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Immunocompetent mice were administered KB103 via intradermal injection to evaluate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COL7. Human COL7 was detected in the mouse skin and also in the BMZ.</w:t>
      </w:r>
    </w:p>
    <w:p>
      <w:pPr>
        <w:spacing w:after="0" w:line="67" w:lineRule="exact"/>
        <w:rPr>
          <w:rFonts w:ascii="Arial" w:cs="Arial" w:eastAsia="Arial" w:hAnsi="Arial"/>
          <w:sz w:val="18"/>
          <w:szCs w:val="18"/>
          <w:color w:val="auto"/>
        </w:rPr>
      </w:pPr>
    </w:p>
    <w:p>
      <w:pPr>
        <w:ind w:left="660" w:right="100" w:hanging="206"/>
        <w:spacing w:after="0" w:line="347"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Repeat administration of KB103 boosts COL7 levels</w:t>
      </w:r>
      <w:r>
        <w:rPr>
          <w:rFonts w:ascii="Arial" w:cs="Arial" w:eastAsia="Arial" w:hAnsi="Arial"/>
          <w:sz w:val="16"/>
          <w:szCs w:val="16"/>
          <w:color w:val="auto"/>
        </w:rPr>
        <w:t>. KB103 was administered to mice on Day 1 and Day 5 and COL7 expression was assessed</w:t>
      </w:r>
      <w:r>
        <w:rPr>
          <w:rFonts w:ascii="Arial" w:cs="Arial" w:eastAsia="Arial" w:hAnsi="Arial"/>
          <w:sz w:val="16"/>
          <w:szCs w:val="16"/>
          <w:b w:val="1"/>
          <w:bCs w:val="1"/>
          <w:color w:val="auto"/>
        </w:rPr>
        <w:t xml:space="preserve"> </w:t>
      </w:r>
      <w:r>
        <w:rPr>
          <w:rFonts w:ascii="Arial" w:cs="Arial" w:eastAsia="Arial" w:hAnsi="Arial"/>
          <w:sz w:val="16"/>
          <w:szCs w:val="16"/>
          <w:color w:val="auto"/>
        </w:rPr>
        <w:t>after one week. As seen from the graph below, levels of COL7 expression were higher after one week following repeat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102870</wp:posOffset>
            </wp:positionV>
            <wp:extent cx="3970655" cy="25215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7065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Figure 12. Repeat Administration Boosts COL7A1 Levels in Mouse Skin</w:t>
      </w:r>
    </w:p>
    <w:p>
      <w:pPr>
        <w:spacing w:after="0" w:line="127" w:lineRule="exact"/>
        <w:rPr>
          <w:sz w:val="20"/>
          <w:szCs w:val="20"/>
          <w:color w:val="auto"/>
        </w:rPr>
      </w:pPr>
    </w:p>
    <w:p>
      <w:pPr>
        <w:ind w:left="660" w:hanging="206"/>
        <w:spacing w:after="0" w:line="26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Comparable expression levels of KB103 following intradermal and topical administration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of intradermal delivery vs. topical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to intact abraded skin was evaluated in immunocompetent mice one week after administration. As shown in the figure below, both routes of administration yielded similar COL7A1 RNA and DNA levels in the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140970</wp:posOffset>
            </wp:positionV>
            <wp:extent cx="4039235" cy="24784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3923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Figure 13. Comparison of Intradermal vs. Topical Delivery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believe that collectively these studies suggest robust expression of functional COL7 in in-vitro and in-vivo models. Published studies have shown that, in animal models, expression of COL7 results in disease correction. In addition, recent publications from Stanford University on an autologous approach have shown strong correlation between COL7 expression in animal studies and efficacy in Phase 1 human trials. Consequently, we intend to complete the list of preclinical studies as requested by the FDA and file an IND application for KB103 with the FDA in the first quarter of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 for KB-103</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October 2016, we had a pre-IND meeting with the FDA. Based on responses from the FDA, we plan to submit an IND to initiate a Phase 1/2 clinical trial of KB103 in the first quarter 2018. Concurrent with our IND filing, we intend to apply for Fast Track designation. To date, we have reviewed preclinical results using an intradermal formulation of KB103 with FDA. Subsequent to our FDA meeting we completed preclinical studies indicating a topical formulation of KB103 showed equivalent levels of COL7 expression as the intradermal formulation. Therefore, we plan to use the topical formulation in our Phase 1/2 study. We plan to study three adult patients with RDEB in the initial stage of the Phase 1/2 trial and upon seeing a prospect of benefit, we will seek to enroll six RDEB patients who are five years and older. The Phase 1/2 trial will evaluate evidence of COL7 expression and the presence of mature anchoring fibrils as measured through skin biopsy. Based on our pre-IND discussions with the FDA to date, we believe that expression of COL7 resulting from the application of KB103 will be sufficient to define clinical benefit. Results of this trial, which we expect to receive in mid-2018, may allow us to apply for Breakthrough Therapy designation and will guide us in finalizing the design of a pivotal Phase 3 clinical trial. In this planned pivotal Phase 3 trial, up to 10 patients will be enrolled and evaluated. We anticipate enrolling both RDEB and DDEB patients in this trial. If successful, we believe the results of this Phase 3 trial could support submission of a Biologics License Application, or BLA, to the FDA in the United States and a Marketing Authorization Application, or MAA, to the EMA in Europe for our KB103 product candidate for the treatment of DEB.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Opportunities</w:t>
      </w:r>
    </w:p>
    <w:p>
      <w:pPr>
        <w:spacing w:after="0" w:line="121" w:lineRule="exact"/>
        <w:rPr>
          <w:sz w:val="20"/>
          <w:szCs w:val="20"/>
          <w:color w:val="auto"/>
        </w:rPr>
      </w:pPr>
    </w:p>
    <w:p>
      <w:pPr>
        <w:jc w:val="both"/>
        <w:ind w:right="160" w:firstLine="456"/>
        <w:spacing w:after="0" w:line="257" w:lineRule="auto"/>
        <w:rPr>
          <w:sz w:val="20"/>
          <w:szCs w:val="20"/>
          <w:color w:val="auto"/>
        </w:rPr>
      </w:pPr>
      <w:r>
        <w:rPr>
          <w:rFonts w:ascii="Arial" w:cs="Arial" w:eastAsia="Arial" w:hAnsi="Arial"/>
          <w:sz w:val="18"/>
          <w:szCs w:val="18"/>
          <w:color w:val="auto"/>
        </w:rPr>
        <w:t>We believe our focus on the unique properties of dermatological diseases provides efficiencies as we select and pursue additional diseases associated with the skin. In addition, we will apply learnings from our near-term programs to future opportunities, which we believe will allow for rapid understanding and efficient drug development. We believe this will enable us to not only apply our gene therapy technology and specifically the STAR-D platform, across multiple severe, genetic diseases today, but across many broader indications associated with the skin, such as psoriasis, atopic dermatitis and chronic wound healing.</w:t>
      </w:r>
    </w:p>
    <w:p>
      <w:pPr>
        <w:spacing w:after="0" w:line="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starting to conduct preclinical studies on our second pipeline compound, KB104, to treat Netherton Syndrome, a severe autosomal recessive form of ichthyosis, associated with mutations in the SPINK5 gene and characterized by chronic skin inflammation, itch, dehydration and stunted growth. We intend to file an IND on KB104 in the third quarter of 2018 and begin clinical studies in the first quarter of 2019. We have also commenced research activities on ichthyosis vulgaris (also known as “ichthyosis simplex”), an inherited disease associated with mutation in the filaggrin gene characterized by dry, scaly skin. Ichthyosis vulgaris is the most common form of ichthyosis affecting around one in 250 people worldwide. We intend to start research activities on treatments for psoriasis, atopic dermatitis and chronic wounds in the fourth quarter of 2017.</w:t>
      </w:r>
    </w:p>
    <w:p>
      <w:pPr>
        <w:spacing w:after="0" w:line="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Given the low prevalence of the rare or orphan diseases we are seeking to treat initially, we intend to internally establish a targeted commercial infrastructure that will be able to serve these patient population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markets effectively. As we expand our portfolio to treat other non-orphan dermatological diseases, we intend to establish collaborative commercial alliances with other companies who are presently commercializing treatments for dermatological indications.</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Following successful completion of a Phase 1 clinical trial of KB103, we intend to design, build and validate a commercial-scale cGMP facility for the upstream and downstream manufacturing processes of products based on our STAR-D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proprietary manufacturing process for clinical grade KB103 was developed and optimized internally based on our STAR-D platform, and involves both an upstream production process and downstream purification step. Recombinant viral vectors are made safe by removal of most of the viral machinery, including packaging proteins, so that they are incapable of or attenuated for replicating in human cells. However, in order to produce the recombinant virus, these viral proteins have to be re-introduced to the process so that the viral vector can be packaged. In most other viral vector production systems, the missing viral proteins are supplied in one or more individual helper plasmids, along with the base viral vector plasmid. All the plasmids are then co-transfected into a production cell line in the presence of a transfection agent to facilitate viral vector production and packaging. The difficulty of this approach is that it requires cGMP-scale manufacturing and qualification of each of the packaging plasmids and optimization of the transfection method. Even with optimized reagents and methods, significant batch-to-batch variability is seen in viral vector yield and titer that, we believe, drives up the cost of viral vector manufacturing and scale-up, and increases the risk of failure during manufacturing.</w:t>
      </w:r>
    </w:p>
    <w:p>
      <w:pPr>
        <w:spacing w:after="0" w:line="7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proprietary upstream process for HSV-1 production avoids the aforementioned issues associated with AAV production systems. Our process requires three critical components:</w:t>
      </w:r>
    </w:p>
    <w:p>
      <w:pPr>
        <w:spacing w:after="0" w:line="76"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Production of a master virus seed stock, or MVSS;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Production of complementing master cell bank, or MCB;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Optimized transduction parameters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MVSS is scaled up from a single purified clone of the modified HSV-1 vector expressing the therapeutic COL7A1 gene. The MCB is a complementing cell line that stably expresses the HSV-1 viral proteins that are required for HSV-1 growth but have been deleted from the recombinant HSV-1 backbone. By introducing the deleted proteins into the MCB, as opposed to including them in the viral replication process via co-transfection of individual plasmids, we eliminate the need for multiple cGMP qualifications of the plasmids or variability in transfection efficiency from batch to batch, that other production processes face. Infection of the MCB with the MVSS at the optimal concentration results in production of the viral particle. Once the MCB and MVSS and the conditions of infection are established, virus production and resultant yield and titer are highly reproducible and scalable over multiple runs and the risk of failure is minimal.</w:t>
      </w:r>
    </w:p>
    <w:p>
      <w:pPr>
        <w:spacing w:after="0" w:line="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Optimization of MCB, MVSS and production methods requires extensive knowledge and technical experience with the HSV-1 genome and significant upfront effort to design and select the best virus seed stock and complementing cell line. To date we have screened through hundreds of cell line clones to find the best complementing cell lines, and similarly designed and generated the optimal virus seed stocks for our portfolio candidates. The viral seed stock expresses the therapeutic proteins under the control of strong constitutive or tissue-specific promoters, and additional non-coding regulatory sequences have been included to optimize gene expression. We have also optimized the transduction conditions to reproducibly obtain high yields of the virus.</w:t>
      </w:r>
    </w:p>
    <w:p>
      <w:pPr>
        <w:spacing w:after="0" w:line="5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Unlike the upstream process, steps used to purify and concentrate the viral vector product are often common across different viral vector platforms, and usually involve multiple stages of clarification, concentration, and diafiltration with the ultimate goal to remove contaminants and concentrate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product. We believe that we have successfully developed a robust and reproducible process for purifying our viral vector to required concentrations for clinical use, while successfully removing contaminants to meet FDA guidelines.</w:t>
      </w:r>
    </w:p>
    <w:p>
      <w:pPr>
        <w:spacing w:after="0" w:line="6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the MVSS and MCB are a vital part of the production of KB103, as they will ensure the reproducible production of multiple clinical batches in a short six week cycle time frame and in a cost-effective manner.</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have made significant investments in developing the most comprehensive and optimized manufacturing process for our vector product candidate including:</w:t>
      </w:r>
    </w:p>
    <w:p>
      <w:pPr>
        <w:spacing w:after="0" w:line="76" w:lineRule="exact"/>
        <w:rPr>
          <w:sz w:val="20"/>
          <w:szCs w:val="20"/>
          <w:color w:val="auto"/>
        </w:rPr>
      </w:pPr>
    </w:p>
    <w:p>
      <w:pPr>
        <w:ind w:left="660" w:right="340" w:hanging="206"/>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sufficient scale to support stability of KB103 with sufficient longevity that a small number of initial batches will likely provide adequate clinical supply up to pivotal Phase 3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proprietary vector manufacturing technique that produces a highly purified KB103;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10 assays to accurately characterize our process and the HSV-1 vectors we produce;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series of high-efficiency purification processes, which can be adapted and customized for our HSV-1 platform products.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believe these improvements and our continued investment in our STAR-D platform will enable us to develop best in class, next generation gene therapy products for dermatological indications.</w:t>
      </w:r>
    </w:p>
    <w:p>
      <w:pPr>
        <w:spacing w:after="0" w:line="6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entire manufacturing process has been successfully transferred to a contract manufacturing organization, and cGMP manufacturing for our lead candidate, KB103, is scheduled for later this year. However, our long-term strategy is to bring our cGMP manufacturing in-house in order to maximally control our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biotechnology and pharmaceutical industries are highly competitive. In particular, the field of gene therapy is characterized by rapidly advancing technologies, intense competition and a strong emphasis on proprietary products. Some of our competitors have substantially greater financial resources and larger research and development organizations. In addition, our experience in clinical trials, obtaining FDA and other regulatory approvals, manufacturing and commercialization of products may be more limited. At this time, there is no FDA- or EMA-approved treatment for EB. However, a number of companies are developing drug candidates for EB. At this time, there is no FDA- or EMA-approved treatment for DEB. However, with respect to companies and institutions developing a treatment for DEB we do not believe that we have any direct competitors who provide an allogeneic approach to treating this disease in the way we seek. As a result, we believe our competitors are more indirect and general in nature and fall into three broad categories:</w:t>
      </w:r>
    </w:p>
    <w:p>
      <w:pPr>
        <w:spacing w:after="0" w:line="69" w:lineRule="exact"/>
        <w:rPr>
          <w:sz w:val="20"/>
          <w:szCs w:val="20"/>
          <w:color w:val="auto"/>
        </w:rPr>
      </w:pPr>
    </w:p>
    <w:p>
      <w:pPr>
        <w:ind w:left="660" w:right="220" w:hanging="206"/>
        <w:spacing w:after="0" w:line="28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Autologous Approaches: </w:t>
      </w:r>
      <w:r>
        <w:rPr>
          <w:rFonts w:ascii="Arial" w:cs="Arial" w:eastAsia="Arial" w:hAnsi="Arial"/>
          <w:sz w:val="18"/>
          <w:szCs w:val="18"/>
          <w:color w:val="auto"/>
        </w:rPr>
        <w:t>We are aware of less than five companies and research institutions including Abeona, Fibrocell and Kings College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developing autologous or grafting gene therapy approaches to treating DEB.</w:t>
      </w:r>
    </w:p>
    <w:p>
      <w:pPr>
        <w:spacing w:after="0" w:line="67" w:lineRule="exact"/>
        <w:rPr>
          <w:rFonts w:ascii="Arial" w:cs="Arial" w:eastAsia="Arial" w:hAnsi="Arial"/>
          <w:sz w:val="18"/>
          <w:szCs w:val="18"/>
          <w:color w:val="auto"/>
        </w:rPr>
      </w:pPr>
    </w:p>
    <w:p>
      <w:pPr>
        <w:ind w:left="660" w:right="660" w:hanging="206"/>
        <w:spacing w:after="0" w:line="28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Palliative Treatments: </w:t>
      </w:r>
      <w:r>
        <w:rPr>
          <w:rFonts w:ascii="Arial" w:cs="Arial" w:eastAsia="Arial" w:hAnsi="Arial"/>
          <w:sz w:val="18"/>
          <w:szCs w:val="18"/>
          <w:color w:val="auto"/>
        </w:rPr>
        <w:t>We are aware of companies such as Amicus Therapeutics who are developing product candidates taking a palliative</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treating the disease.</w:t>
      </w:r>
    </w:p>
    <w:p>
      <w:pPr>
        <w:spacing w:after="0" w:line="67" w:lineRule="exact"/>
        <w:rPr>
          <w:rFonts w:ascii="Arial" w:cs="Arial" w:eastAsia="Arial" w:hAnsi="Arial"/>
          <w:sz w:val="18"/>
          <w:szCs w:val="18"/>
          <w:color w:val="auto"/>
        </w:rPr>
      </w:pPr>
    </w:p>
    <w:p>
      <w:pPr>
        <w:ind w:left="660" w:right="120" w:hanging="206"/>
        <w:spacing w:after="0" w:line="28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Non-Gene Therapy: </w:t>
      </w:r>
      <w:r>
        <w:rPr>
          <w:rFonts w:ascii="Arial" w:cs="Arial" w:eastAsia="Arial" w:hAnsi="Arial"/>
          <w:sz w:val="18"/>
          <w:szCs w:val="18"/>
          <w:color w:val="auto"/>
        </w:rPr>
        <w:t>We are aware that ProQR Therapeutics has a product candidate in preclinical development that intends to treat some forms of</w:t>
      </w:r>
      <w:r>
        <w:rPr>
          <w:rFonts w:ascii="Arial" w:cs="Arial" w:eastAsia="Arial" w:hAnsi="Arial"/>
          <w:sz w:val="18"/>
          <w:szCs w:val="18"/>
          <w:b w:val="1"/>
          <w:bCs w:val="1"/>
          <w:color w:val="auto"/>
        </w:rPr>
        <w:t xml:space="preserve"> </w:t>
      </w:r>
      <w:r>
        <w:rPr>
          <w:rFonts w:ascii="Arial" w:cs="Arial" w:eastAsia="Arial" w:hAnsi="Arial"/>
          <w:sz w:val="18"/>
          <w:szCs w:val="18"/>
          <w:color w:val="auto"/>
        </w:rPr>
        <w:t>RDEB with a topical RNA-based treatment.</w:t>
      </w:r>
    </w:p>
    <w:p>
      <w:pPr>
        <w:spacing w:after="0" w:line="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that the major drawbacks of autologous therapies are the need for highly trained dermatologists, high cost of treatment and the need for sophisticated equipment setup and possible hospitalization. Additionally, because autologous treatments require processing patient’s own cells and tissues that takes time, there is a significant delay of eight months to more than one year between diagnosis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commencement of patient’s treatment. Potential palliative approaches may help mitigate some of the symptoms of the disease but do not treat the underlying disease at a molecular level. We expect that ProQR’s preclinical candidate will be able to treat only a subset of the many genetic defects that cause RDEB. Even if our competitors are able to successfully develop approved products for DEB, we believe there will remain a need for an off-the-shelf treatment such as KB103.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Protection of our intellectual property is an important part of our business. We seek patent protection in the United States and in other countries for our inventions and discoveries, and we develop and protect our key know-how and trade secrets relating to our platform technology and the products we are developing using our platform.</w:t>
      </w:r>
    </w:p>
    <w:p>
      <w:pPr>
        <w:spacing w:after="0" w:line="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adopted a strategy of seeking patent protection in the United States and in other jurisdictions globally that we deem appropriate with respect to certain of our technologies relating to our products and process. As of June 9, 2017, we are actively prosecuting a patent application in front of the USPTO directed to our products and processes related to the treatment of epidermolysis bullosa, and a corresponding international patent application has been filed in accordance with the Paris Cooperation Treaty. Additionally, a patent application has been filed with the USPTO seeking protection for our core viral platform technologies, including the STAR-D platform. We continue to actively develop our portfolio through the filing of new patent applications, divisionals and continuations relating to our technologies as we deem appropriate.</w:t>
      </w:r>
    </w:p>
    <w:p>
      <w:pPr>
        <w:spacing w:after="0" w:line="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to patents and licenses, we rely on trade secrets and know-how to develop and maintain our competitive position. However, trade secrets can be difficult to protect. We seek to protect our proprietary technology and processes, and obtain and maintain ownership of certain technologies, in part, through confidentiality agreements and invention assignment agreements with our employees, consultants and commercial partners. We also seek to preserve the integrity and confidentiality of our data, trade secrets and know-how, as well as that of our licensees, including by implementing measures intended to maintain the physical security of research facilities and the physical and electronic security of our information technology systems.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United States, the FDA regulates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biologic products. Applications to the FDA are required before conducting human clinical testing of biologic products. Additionally, each clinical trial protocol for a gene therapy product candidate is reviewed by the FDA, and in limited instances the National Institutes of Health, or the NIH, through its Recombinant DNA Advisory Committee, or RAC. FDA approval also must be obtained before marketing of biologic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 to successfully develop and commercialize our product candidates.</w:t>
      </w:r>
    </w:p>
    <w:p>
      <w:pPr>
        <w:spacing w:after="0" w:line="74"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Within the FDA, the Center for Biologics Evaluation and Research, or CBER, regulates gene therapy products. Within CBER, the review of gene therapy and related products is consolidated in the Office of Cellular, Tissue and Gene Therapies, or the OCTGT, and the FDA has established the Cellular, Tissue and Gene Therapies Advisory Committee, or the CTGTAC, to advise CBER on its reviews. CBER works closely with the NIH and the RAC, which makes recommendations to the NIH on gene therapy issues and engages in a public discussion of scientific, safety, ethical and societal issues related to proposed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ongoing gene therapy protocols. To date, the FDA has only approved one human gene therapy product for sale. The FDA has provided guidance for the development of gene therapy products generally, including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 Products Development Process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FDA must approve a product candidate before it may be legally marketed in the United States. The process required by the FDA before a biologic product candidate may be marketed in the United States generally involves the following:</w:t>
      </w:r>
    </w:p>
    <w:p>
      <w:pPr>
        <w:spacing w:after="0" w:line="76" w:lineRule="exact"/>
        <w:rPr>
          <w:sz w:val="20"/>
          <w:szCs w:val="20"/>
          <w:color w:val="auto"/>
        </w:rPr>
      </w:pPr>
    </w:p>
    <w:p>
      <w:pPr>
        <w:ind w:left="660" w:right="260" w:hanging="206"/>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completion of preclinical laboratory tests and in vivo studies in accordance with the FDA’s current Good Laboratory Practice, or GLP, regulations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submission to the FDA of an application for an IND exemption, which allows human clinical trials to begin unless FDA objects within 30 days;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GCP regulations, and any additional requirements for the protection of human research subjects and their health information, to establish the safety and efficacy of the proposed biologic product candidate for its intended use;</w:t>
      </w:r>
    </w:p>
    <w:p>
      <w:pPr>
        <w:spacing w:after="0" w:line="86"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for marketing approval that includes substantial evidence of safety, purity and potency from results of nonclinical testing and clinical trials;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30"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potency and purity;</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and FDA review and approval, or licensure, of the BLA.</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 conduct of the preclinical tests must comply with federal regulations and requirements including GLPs.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Concurrent with clinical trials, companies usually must complete some long-term preclinical testing, such as animal studies of reproductive adverse events and carcinogenicity,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clinical trial sponsor must submit the results of the preclinical tests, together with manufacturing information, analytical data, any available clinical data or literature and a proposed clinical protocol, to the FDA as part of an IND. Some preclinical testing may continue even after the IND is submitted. The IND automatically becomes effective 30 days after receipt by the FDA, unless the FDA places the clinical trial on a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Under an IND</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Clinical trials involve the administration of the biologic product candidate to healthy volunteers or patients under the supervision of qualified investigators which generally are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 Clinical trials must be conducted and monitored in accordance with the FDA’s regulations comprising the GCP requirements, including the requirement that all research subjects provide informed consent.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their legal representative, reviews and approves the study protocol, and must monitor the clinical trial until completed. Clinical trials involving recombinant DNA also must be reviewed by an institutional biosafety committee, or IBC, a local institutional committee that reviews and oversees basic and clinical research that utilizes recombinant DNA at that institution. The IBC assesses the safety of the research and identifies any potential risk to public health or the environment.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typically are conducted in three sequential phases that may overlap or be combined:</w:t>
      </w:r>
    </w:p>
    <w:p>
      <w:pPr>
        <w:spacing w:after="0" w:line="131" w:lineRule="exact"/>
        <w:rPr>
          <w:sz w:val="20"/>
          <w:szCs w:val="20"/>
          <w:color w:val="auto"/>
        </w:rPr>
      </w:pPr>
    </w:p>
    <w:p>
      <w:pPr>
        <w:ind w:left="660" w:hanging="206"/>
        <w:spacing w:after="0" w:line="25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Phase 1. The biologic product candidate initially is introduced into a small number of healthy human subjects and tested for safety, dosage tolerance, absorption, metabolism, distribution and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93" w:lineRule="exact"/>
        <w:rPr>
          <w:rFonts w:ascii="Arial" w:cs="Arial" w:eastAsia="Arial" w:hAnsi="Arial"/>
          <w:sz w:val="18"/>
          <w:szCs w:val="18"/>
          <w:color w:val="auto"/>
        </w:rPr>
      </w:pPr>
    </w:p>
    <w:p>
      <w:pPr>
        <w:ind w:left="660" w:right="360" w:hanging="206"/>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Phase 2. The biologic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660" w:right="40" w:hanging="206"/>
        <w:spacing w:after="0" w:line="297"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Phase 3. Phase 3 clinical trials are commonly referred to as “pivotal” studies, which typically denotes a study which presents the data that the FDA or other relevant regulatory agency will use to determine whether or not to approve a biologic product. In Phase 3 studies, the biologic product candidate is administered to an expanded patient population, generally at multiple geographically dispersed clinical trial sites in adequate and well-controlled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63" w:lineRule="exact"/>
        <w:rPr>
          <w:rFonts w:ascii="Arial" w:cs="Arial" w:eastAsia="Arial" w:hAnsi="Arial"/>
          <w:sz w:val="16"/>
          <w:szCs w:val="16"/>
          <w:color w:val="auto"/>
        </w:rPr>
      </w:pPr>
    </w:p>
    <w:p>
      <w:pPr>
        <w:ind w:left="660" w:right="80" w:hanging="206"/>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Post-approval clinical trials, sometimes referred to as Phase 4 clinical trials, may be conducted after initial approval. These clinical trials are used to gain additional experience from the treatment of patients in the intended therapeutic indication, particularly for long-term safety follow-up.</w:t>
      </w:r>
    </w:p>
    <w:p>
      <w:pPr>
        <w:spacing w:after="0" w:line="1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 for Gene Therapy Clinical Trials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The NIH and the FDA have a publicly accessible database, the Genetic Modification Clinical Research Information System, which includes information on gene therapy trials and serves as an electronic tool to facilitate the reporting and analysis of adverse events on these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1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results of the preclinical tests and clinical trials, together with detailed information relating to the product’s CMC and proposed labeling, among other things, are submitted to the FDA as part of a BLA requesting approval to market the product for one or more indications. For gene therapies, selecting patients with applicable genetic defects is a necessary condition to effective treatment. For the therapy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are currently developing, we believe that diagnoses based on existing genetic tests developed and administered by laboratories certified under the Clinical Laboratory Improvement Amendments, or CLIA, are sufficient to select appropriate patients and will be permitted by the FDA. Under the Prescription Drug User Fee Act, or PDUFA, as amended, each BLA must be accompanied by a significant user fee. The FDA adjusts the PDUFA user fees on an annual basis. The PDUFA also imposes an annual product fee for biologics and an annual establishment license fee on facilities used to manufacture prescription biologics.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FDA reviews a BLA within 60 days of submission to determine if it is substantially complete before the agency accepts it for filing.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candidate is safe and potent, or effective, for its intended use, has an acceptable purity profile and whether the product candidate is being manufactured in accordance with cGMP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REMS is necessary to assure the safe use of the product candidate.</w:t>
      </w:r>
    </w:p>
    <w:p>
      <w:pPr>
        <w:spacing w:after="0" w:line="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8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will issue an approval letter.</w:t>
      </w:r>
    </w:p>
    <w:p>
      <w:pPr>
        <w:spacing w:after="0" w:line="8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If a product candidate receives regulatory approval, the approval may be significantly limited to specific diseases and dosages or the indications for use may otherwise be limited. Further, the FDA may require that certain contraindications, warnings or precautions be included in the product labeling.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3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10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a showing of clinical superiority to the product with orphan exclusivity or if the party holding the exclusivity fails to assure the availability of sufficient quantities of the drug to meet the needs of patients with the disease or condition for which the drug was designated. Competitors, however, may receive approval of different products for the same indication for which the orphan product has exclusivity or obtain approval for the same product but for a different indication for which the orphan product has exclusivity. Orphan medicinal product status in the European Union has similar, but not identical,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FDA is authorized to expedite the review of BLAs in several ways.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Fast Track Program</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 Any product submitted to FDA for marketing, including under a Fast Track program, may be eligible for other types of FDA programs intended to expedite development and review, such as breakthrough therapy designation, priority review and accelerated approval.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Breakthrough Therapy Designation</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Accelerated Approval</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FDA may require that a sponsor of a drug or biologic product candidate receiving accelerated approval perform adequate and well-controlled post-marketing clinical trials. In addition, FDA currently requires as a condition for accelerated approval pre-approval of promotional materials.</w:t>
      </w:r>
    </w:p>
    <w:p>
      <w:pPr>
        <w:spacing w:after="0" w:line="5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Fast Track designation, breakthrough therapy designation and accelerated approval do not change the standards for approval but may expedite the development or approval process.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Rare Pediatric Disease Priority Review Voucher</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FDA also offers a rare pediatric disease drug designation. If a drug receives the designation of a “rare pediatric disease” drug, it is eligible during the FDA marketing process to apply for a Rare Pediatric Disease Priority Review Voucher. According to the FDA website, under the Rare Pediatric Priority Review Voucher Program, a sponsor who receives an approval for a drug or biologic for a “rare pediatric disease” may qualify for a voucher that can be redeemed to receive a priority review of a subsequent marketing application for a different product. In December 2016, we received the designation of “rare pediatric disease” for KB103 and conditional designation of our marketing application as a “rare pediatric disease product application,” which, if granted, could qualify us to receive a Rare Pediatric Priority Review Voucher. According to the FDA website, a Rare Pediatric Priority Review Voucher can be redeemed to receive a priority review of a subsequent marketing application for a different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tests performed on the lot. The FDA also may perform certain confirmatory tests on lots of some products before releasing the lots for distribution. In addition, the FDA conducts laboratory research related to the regulatory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standards on the safety, purity, potency and effectiveness of biologic products. A sponsor also must comply with the FDA’s advertising and promotion requirements, such as the prohibition on promoting products for uses or in patient populations that are not described in the product’s approved labeling (known as “off-label use”).</w:t>
      </w:r>
    </w:p>
    <w:p>
      <w:pPr>
        <w:spacing w:after="0" w:line="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permit a patent restoration term of up to five years as compensation for patent term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regulations in the United States, sponsors are subject to a variety of regulations in other jurisdictions governing, among other things, clinical trials and any commercial sales and distribution of biologic products. Because biologically sourced raw materials are subject to unique contamination risks, their use may be restricted in some countries.</w:t>
      </w:r>
    </w:p>
    <w:p>
      <w:pPr>
        <w:spacing w:after="0" w:line="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Whether or not a sponsor obtains FDA approval for a product, a sponsor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request for a Clinical Trial Authorization, or CTA, must be submitted to the competent regulatory authorities and the competent Ethics Committees in the European Union Member States in which the clinical trial takes place, much like FDA and the IRB, respectively. Once the CTA request is approved in accordance with the European Union and the European Union Member State’s requirements, clinical trial development may proceed. 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 and Regulations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94" w:lineRule="exact"/>
        <w:rPr>
          <w:sz w:val="20"/>
          <w:szCs w:val="20"/>
          <w:color w:val="auto"/>
        </w:rPr>
      </w:pPr>
    </w:p>
    <w:p>
      <w:pPr>
        <w:ind w:left="660" w:hanging="206"/>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Patient Protection and Affordable Care Act, or PPACA, amended the intent requirement of the federal Anti-Kickback Statute. A person or entity no longer needs to have actual knowledge of this statute or specific intent to violate it in order to commit a violation;</w:t>
      </w:r>
    </w:p>
    <w:p>
      <w:pPr>
        <w:spacing w:after="0" w:line="94" w:lineRule="exact"/>
        <w:rPr>
          <w:rFonts w:ascii="Arial" w:cs="Arial" w:eastAsia="Arial" w:hAnsi="Arial"/>
          <w:sz w:val="18"/>
          <w:szCs w:val="18"/>
          <w:color w:val="auto"/>
        </w:rPr>
      </w:pPr>
    </w:p>
    <w:p>
      <w:pPr>
        <w:ind w:left="660" w:right="100" w:hanging="206"/>
        <w:spacing w:after="0" w:line="25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or the FCA, which prohibit, among other things, individuals or entities from knowingly presenting, or causing to be presented, claims for payment from Medicare, Medicaid or other third-party payors that are false or fraudulent, or making a false statement to avoid, decrease, or conceal an obligation to pay money to the federal government. Certain marketing practices, including off-label promotion, also may implicate the FCA. In addition, the PPACA codified case law that a claim including items or services resulting from a violation of the federal Anti-Kickback Statute constitutes a false or fraudulent claim for purposes of the FCA;</w:t>
      </w:r>
    </w:p>
    <w:p>
      <w:pPr>
        <w:spacing w:after="0" w:line="98" w:lineRule="exact"/>
        <w:rPr>
          <w:rFonts w:ascii="Arial" w:cs="Arial" w:eastAsia="Arial" w:hAnsi="Arial"/>
          <w:sz w:val="18"/>
          <w:szCs w:val="18"/>
          <w:color w:val="auto"/>
        </w:rPr>
      </w:pPr>
    </w:p>
    <w:p>
      <w:pPr>
        <w:ind w:left="660" w:right="320" w:hanging="206"/>
        <w:spacing w:after="0" w:line="25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the CMS, information related to payments and other transfers of value to physicians, certain other healthcare providers and teaching hospitals, and ownership and investment interests held by physicians and other healthcare providers and their immediate family members;</w:t>
      </w:r>
    </w:p>
    <w:p>
      <w:pPr>
        <w:spacing w:after="0" w:line="93"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660" w:right="60" w:hanging="206"/>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imposes obligations, including mandatory contractual terms, with respect to safeguarding the transmission, security and privacy of protected health information;</w:t>
      </w:r>
    </w:p>
    <w:p>
      <w:pPr>
        <w:spacing w:after="0" w:line="86"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and</w:t>
      </w:r>
    </w:p>
    <w:p>
      <w:pPr>
        <w:spacing w:after="0" w:line="75"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259" w:lineRule="auto"/>
        <w:rPr>
          <w:sz w:val="20"/>
          <w:szCs w:val="20"/>
          <w:color w:val="auto"/>
        </w:rPr>
      </w:pPr>
      <w:r>
        <w:rPr>
          <w:rFonts w:ascii="Arial" w:cs="Arial" w:eastAsia="Arial" w:hAnsi="Arial"/>
          <w:sz w:val="18"/>
          <w:szCs w:val="18"/>
          <w:color w:val="auto"/>
        </w:rPr>
        <w:t>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Violation of the laws described above or any other governmental laws and regulations may result in penalties, including civil and criminal penalties, damages, fines, the curtailment or restructuring of operations, the exclusion from participation in federal and state healthcare programs, disgorgement, contractual damages, reputational harm, diminished profits and future earnings, and imprisonment. Furthermore, efforts to ensure that business activities and business arrangements comply with applicable healthcare laws and regulations can be costly.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sales of any product candidates for which regulatory approval for commercial sale is obtained will depend in part on the availability of coverage and adequate reimbursement from third-party payors. Third-party payors include government authorities and health programs in the United States such as Medicare and Medicaid, managed care providers, private health insurers and other organizations. These third-party payors are increasingly reducing reimbursements for medical products and services.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for example, the pharmaceutical industry has been a particular focus of these efforts and has been significantly affected and continues to face major uncertainty due to the status of major legislative initiatives surrounding healthcare reform.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117" w:lineRule="exact"/>
        <w:rPr>
          <w:sz w:val="20"/>
          <w:szCs w:val="20"/>
          <w:color w:val="auto"/>
        </w:rPr>
      </w:pPr>
    </w:p>
    <w:p>
      <w:pPr>
        <w:jc w:val="both"/>
        <w:ind w:right="240" w:firstLine="456"/>
        <w:spacing w:after="0" w:line="276"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Corrupt Practices Act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U.S. Foreign Corrupt Practices Act, or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As of August 15, 2017, we had seven full-time employees, five of whom were primarily engaged in research and development activities and hold Masters or Ph.D., degrees in a scientific field. None of our employees is represented by a labor union and we consider our employee relations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lease approximately 5,065 square feet of combined laboratory and office space in Pittsburgh, Pennsylvania that we use in our research and development efforts. We established the geographic locations of our research and development operations based on proximity to the relevant market expertise and access to available talent pools. We presently plan on extending our current lease, which ends in October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currently are not a party to any material litigation or other material legal proceedings. We may, from time to time, be subject to legal proceedings and claims arising from the normal course of business activities.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current executive officers and directors as of August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Age</w:t>
            </w:r>
          </w:p>
        </w:tc>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r>
      <w:tr>
        <w:trPr>
          <w:trHeight w:val="196"/>
        </w:trPr>
        <w:tc>
          <w:tcPr>
            <w:tcW w:w="3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320" w:type="dxa"/>
            <w:vAlign w:val="bottom"/>
            <w:shd w:val="clear" w:color="auto" w:fill="CCEEFF"/>
          </w:tcPr>
          <w:p>
            <w:pPr>
              <w:spacing w:after="0"/>
              <w:rPr>
                <w:sz w:val="17"/>
                <w:szCs w:val="17"/>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Krish S. Krishnan</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68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Chairman of the Board of Directors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Suma M. Krishnan</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Founder, Chief Operating Officer and Director</w:t>
            </w: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Janney</w:t>
            </w:r>
            <w:r>
              <w:rPr>
                <w:rFonts w:ascii="Arial" w:cs="Arial" w:eastAsia="Arial" w:hAnsi="Arial"/>
                <w:sz w:val="15"/>
                <w:szCs w:val="15"/>
                <w:color w:val="auto"/>
              </w:rPr>
              <w:t>(1)(2)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Rockford Douglas Norby</w:t>
            </w:r>
            <w:r>
              <w:rPr>
                <w:rFonts w:ascii="Arial" w:cs="Arial" w:eastAsia="Arial" w:hAnsi="Arial"/>
                <w:sz w:val="15"/>
                <w:szCs w:val="15"/>
                <w:color w:val="auto"/>
              </w:rPr>
              <w:t>(1)(2)(3)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82</w:t>
            </w:r>
          </w:p>
        </w:tc>
        <w:tc>
          <w:tcPr>
            <w:tcW w:w="68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r>
              <w:rPr>
                <w:rFonts w:ascii="Arial" w:cs="Arial" w:eastAsia="Arial" w:hAnsi="Arial"/>
                <w:sz w:val="15"/>
                <w:szCs w:val="15"/>
                <w:color w:val="auto"/>
              </w:rPr>
              <w:t>(1)(2)(3)</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Kirti Ganorkar</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68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220" w:hanging="212"/>
        <w:spacing w:after="0"/>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220" w:hanging="212"/>
        <w:spacing w:after="0"/>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Krish S. Krishnan </w:t>
      </w:r>
      <w:r>
        <w:rPr>
          <w:rFonts w:ascii="Arial" w:cs="Arial" w:eastAsia="Arial" w:hAnsi="Arial"/>
          <w:sz w:val="16"/>
          <w:szCs w:val="16"/>
          <w:color w:val="auto"/>
        </w:rPr>
        <w:t>has served as our President and Chief Executive Officer and Chairman of our board of directors since our inception. Mr. Krishnan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Chief Operating Officer of Intrexon Corporation (NYSE: XON) from 2011 to 2016, and as Chief Executive Officer and President of Pinnacle Pharmaceuticals, Inc. from 2009 to 2011. He also served as Chief Financial Officer and Chief Operating Officer of New River Pharmaceuticals, Inc. from 2004 to 2007 (previously listed on NASDAQ prior to its acquisition by Shire plc in 2007), and was a member of its board of directors from 2003 until 2007. He served as a Senior Managing Director of Third Security, LLC between 2001 and 2008 and as a board member of Biotie Therapies Oyj (BTH1V:Helsinki) between 2008 and 2009. He served as Managing Principal at Ariba before joining Third Security and also served with the management consulting firm A.T. Kearney, where he advised Fortune 50 companies on business strategy. Mr. Krishnan started his career as an engineer with E.I. Dupont de Nemours in Wilmington, Delaware. He received a B.S. in Mechanical Engineering from the Indian Institute of Technology, an M.S. in Engineering from the University of Toledo, and an M.B.A. in Finance from The Wharton School at the University of Pennsylvania.</w:t>
      </w:r>
    </w:p>
    <w:p>
      <w:pPr>
        <w:spacing w:after="0" w:line="5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Suma M. Krishnan </w:t>
      </w:r>
      <w:r>
        <w:rPr>
          <w:rFonts w:ascii="Arial" w:cs="Arial" w:eastAsia="Arial" w:hAnsi="Arial"/>
          <w:sz w:val="17"/>
          <w:szCs w:val="17"/>
          <w:color w:val="auto"/>
        </w:rPr>
        <w:t>is our founder and has served as our Chief Operating Officer and director since our inception. Ms. Krishnan has over two decades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experience in drug development. She previously served as Senior Vice President and head of the Human Therapeutics Division, as well as Senior Vice President of Regulatory Affairs at Intrexon Corporation (NYSE: XON) from 2012 to 2016. She previously served as Senior Vice President, Product Development at Pinnacle Pharmaceuticals, Inc. from 2009 to 2011. Ms. Krishnan served as Vice President, Product Development at New River Pharmaceuticals, Inc. from 2002 until 2007 (previously listed on NASDAQ prior to its acquisition by Shire plc in 2007). Prior to serving at New River Pharmaceuticals, Inc., Ms. Krishnan served in the following capacities: Director, Regulatory Affairs at Shire plc; Senior Project Manager at Pfizer, Inc. (NYSE: PFE), a multi-national pharmaceutical company; and a consultant at the Weinberg Group, a pharmaceutical and environmental consulting firm. Ms. Krishnan began her career as a discovery scientist for Janssen Pharmaceuticals, Inc., a subsidiary of Johnson &amp; Johnson (NYSE: JNJ), in May 1991. Ms. Krishnan received an M.S. in Organic Chemistry from Villanova University, an M.B.A. from Institute of Management and Research (India) and an undergraduate degree in Organic Chemistry from Ferguson University (India).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Daniel S. Janney </w:t>
      </w:r>
      <w:r>
        <w:rPr>
          <w:rFonts w:ascii="Arial" w:cs="Arial" w:eastAsia="Arial" w:hAnsi="Arial"/>
          <w:sz w:val="16"/>
          <w:szCs w:val="16"/>
          <w:color w:val="auto"/>
        </w:rPr>
        <w:t>has served as a member of our board of directors since November 2016, and is chairman of the compensation committee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audit committee. Mr. Janney is a Managing Director at Alta Partners, a life sciences venture capital firm, which he joined in 1996. Prior to joining Alta, from 1993 to 1996, he was a Vice President in Montgomery Securities’ healthcare and biotechnology investment banking group, focusing on life sciences companies. Mr. Janney is a director of a number of companies including Esperion Therapeutics (NASDAQ:ESPR), Evolve Biosystems, Inc., Prolacta Bioscience, Inc., Sutro Biopharma and Viveve Medical, Inc. (NASDAQ:VIVE). He holds a Bachelor of Arts in History from Georgetown University and an M.B.A. from the Anderson School at the University of California, Los Angeles. We believe Mr. Janney’s experience working with and serving on the boards of directors of life sciences companies and his experience working in the venture capital industry qualifies him to serve as a member of our Board.</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 Douglas Norby </w:t>
      </w:r>
      <w:r>
        <w:rPr>
          <w:rFonts w:ascii="Arial" w:cs="Arial" w:eastAsia="Arial" w:hAnsi="Arial"/>
          <w:sz w:val="16"/>
          <w:szCs w:val="16"/>
          <w:color w:val="auto"/>
        </w:rPr>
        <w:t>has served as a member of our board of directors since January 2017, and is chairman of the audit committee and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and the nominating and corporate governance committee. He also serves as lead independent director on the board of directors of Alexion Pharmaceuticals, Inc. (NASDAQ: ALXN), where he has been a board member since September 1999. Mr. Norby has held positions of responsibility at many companies, including serving as Senior Vice President and Chief Financial Officer of Tessera, Inc., a provider of intellectual property for advanced semiconductor packaging; and as Senior Vice President and Chief Financial Officer of Zambeel, Inc., a data storage systems company. Mr. Norby has also served as Senior Vice President and Chief Financial Officer of Novalux, Inc., a manufacturer of lasers for optical networks; as Executive Vice President and Chief Financial Officer of LSI Logic Corporation, a semiconductor company which was acquired by Avago Technologies in 2013; as Senior Vice President and Chief Financial Officer of Mentor Graphics Corporation, a software company; and as President and Chief Operating Officer at Lucasfilm, Ltd., an entertainment company. His pharmaceutical experience includes serving as President of Pharmetrix Corporation, a drug delivery company, and as Senior Vice President and Chief Financial Officer of Syntex Corporation, a pharmaceutical company, which was later acquired by Roche Holding Ltd. Mr. Norby received a bachelor’s degree in Economics from Harvard University and an MBA from Harvard Business School. We believe that Mr. Norby’s extensive experience in the pharmaceutical industry as both an executive officer and a director qualifies him to serve as a member of our Board.</w:t>
      </w:r>
    </w:p>
    <w:p>
      <w:pPr>
        <w:spacing w:after="0" w:line="6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i w:val="1"/>
          <w:iCs w:val="1"/>
          <w:color w:val="auto"/>
        </w:rPr>
        <w:t xml:space="preserve">Dino A. Rossi </w:t>
      </w:r>
      <w:r>
        <w:rPr>
          <w:rFonts w:ascii="Arial" w:cs="Arial" w:eastAsia="Arial" w:hAnsi="Arial"/>
          <w:sz w:val="16"/>
          <w:szCs w:val="16"/>
          <w:color w:val="auto"/>
        </w:rPr>
        <w:t>has served as a member of our board of directors since June 2017, and is a member of the audit committee, compensation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nominating and corporate governance committee. Mr. Rossi was previously employed by Balchem Corporation (NASDAQ: BCPC), where he served as Chief Executive Officer and President from October 1997 to April 2015, Chief Financial Officer from April 1996 to January 2004 and Treasurer from June 1996 to June 2003, as well as Executive Chairman from September 2015 to December 2016. He has also previously served as Vice President, Finance &amp; Administration of Norit Americas Inc., a wholly owned subsidiary of Norit N.V. and Vice President, finance and Administration of Oakite Products Inc. He also previously served on the board of Scientific Learning Corp. Mr. Rossi holds a BS in Accounting from West Virginia University. We believe that</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Rossi’s extensive leadership experience as an executive officer of a publicly traded company, as well as his financial expertise, qualifies him to serve as a member of our Board.</w:t>
      </w:r>
    </w:p>
    <w:p>
      <w:pPr>
        <w:spacing w:after="0" w:line="7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Kirti Ganorkar </w:t>
      </w:r>
      <w:r>
        <w:rPr>
          <w:rFonts w:ascii="Arial" w:cs="Arial" w:eastAsia="Arial" w:hAnsi="Arial"/>
          <w:sz w:val="18"/>
          <w:szCs w:val="18"/>
          <w:color w:val="auto"/>
        </w:rPr>
        <w:t>has served as a member of our board of directors since September 2017. Mr. Ganorkar is currently the Executive Vice President of Sun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 Industries Ltd, a multinational pharmaceutical company and the largest pharmaceutical company headquartered in India. Mr. Ganorkar joined Sun Pharma in 1996 and has worked in a number of roles during his time there, most recently as head of Global Business Development &amp; Portfolio Management. Prior to Sun Pharma, Mr. Ganorkar worked for German Remedies as a senior product manager, and with Rallis India Ltd. and Sudarshan Chemical Industries prior to that. Mr. Ganorkar has a Bachelors of Technology degree in chemical engineering from Nagpur University and an MBA in marketing management from Poona University.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Our board of directors currently consists of six members. The primary responsibilities of our board of directors are to provide oversight, strategic guidance, counseling and direction to our management. Our board of directors meets on a regular basis and additionally as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second amended and restated certificate of incorporation and amended and restated bylaws that will be effective upon the closing of this offering provide for a classified board of directors consisting of three classes of directors, each serving staggered three-year terms. As a result, one class of directors will be elected at each annual meeting of our stockholders, with the other classes continuing for the remainder of their respective three-year terms. Our directors will be divided equally among the three classes as follows.</w:t>
      </w:r>
    </w:p>
    <w:p>
      <w:pPr>
        <w:spacing w:after="0" w:line="92" w:lineRule="exact"/>
        <w:rPr>
          <w:sz w:val="20"/>
          <w:szCs w:val="20"/>
          <w:color w:val="auto"/>
        </w:rPr>
      </w:pPr>
    </w:p>
    <w:p>
      <w:pPr>
        <w:ind w:left="660" w:right="520" w:hanging="206"/>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 directors will be Ms. Krishnan and Mr. Norby, and their terms will expire at the first annual meeting of stockholders following this offering;</w:t>
      </w:r>
    </w:p>
    <w:p>
      <w:pPr>
        <w:spacing w:after="0" w:line="75" w:lineRule="exact"/>
        <w:rPr>
          <w:rFonts w:ascii="Arial" w:cs="Arial" w:eastAsia="Arial" w:hAnsi="Arial"/>
          <w:sz w:val="18"/>
          <w:szCs w:val="18"/>
          <w:color w:val="auto"/>
        </w:rPr>
      </w:pPr>
    </w:p>
    <w:p>
      <w:pPr>
        <w:ind w:left="660" w:right="480" w:hanging="206"/>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II directors will be Mr. Janney and Mr. Rossi, and their terms will expire at the second annual meeting of stockholders following this offering; and</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III directors will be Mr. Krishnan and Mr. Ganorkar, and their terms will expire at the third annual meeting of stockholders following this offering.</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second amended and restated certificate of incorporation and amended and restated bylaws that will be effective upon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w:t>
      </w:r>
    </w:p>
    <w:p>
      <w:pPr>
        <w:spacing w:after="0" w:line="63"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classification of our board of directors may have the effect of delaying or preventing changes in control of our company. See “Description of Capital Stock—Anti-Takeover Provisions—Second Amended and Restated Certificate of Incorporation and Amended and Restated Bylaws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Securities Exchange Act of 1934, as amended, or the Exchange Act.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determined that all of our directors, except Krish S. Krishnan and Suma M. Krishnan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and the transactions involving them described in the section entitled “Certain Relationships and Related-Party Transactions.”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46"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non-executive directors and executive officers. With respect to executive officers, Mr. Krishnan and Ms. Krishnan are spouses and each serves on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have the composition and responsibilities described below. Members serve on these committees until their resignation or until otherwise determined by our board of directors. Each committee operates under a charter approved by our board of directors. Following the closing of this offering, copies of each committee’s charter will be posted on the investor relations section of our website at www.krystalbio.com.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audit committee is composed of Messrs. Norby, Janney and Rossi. Mr. Norby is the chairperson of our audit committee. Messrs. Norby, Janney and Rossi each meet the requirements for independence under the current NASDAQ listing standards and SEC rules and regulations. Each member of our audit committee is financially literate. In addition, our board of directors has determined that Mr. Norby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64"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our financial statement audits and the integrity of our financial statements;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selecting and hiring our registered independent public accounting firm;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Our compensation committee is composed of Messrs. Norby, Janney and Rossi. Mr. Janney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or the Code; and (ii) a non-employee director, as defined in Rule 16b-3 promulgated under the Exchange Act. Our compensation committee is responsible for, among other things:</w:t>
      </w:r>
    </w:p>
    <w:p>
      <w:pPr>
        <w:spacing w:after="0" w:line="94"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evaluating, recommending, approving and reviewing executive officer and director compensation arrangements, plans, policies and programs;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any other board of director responsibilities relating to executive compensation.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nominating and corporate governance committee is composed of Messrs. Norby and Rossi. Mr. Rossi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92"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our executive officers has served as a member of our compensation committee. 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upon the closing of this offering, we will adopt a Code of Business Conduct and Ethics, or the Code of Conduct, applicable to all of our employees, executive officers and directors, which will be available on our website at www.krystalbio.com. The reference to our website address in this prospectus does not include or incorporate by reference the information on our website into this prospectus. The nominating and corporate governance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the applicable stock exchange concerning any amendments to, or waivers from, any provision of the Code of Conduct, to the extent required by the applicable rules and exchange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table presents the total compensation for the year ending December 31, 2016, for each person who served as a non-employee member of our board of directors in the year. Other than as set forth in the table, in the year ended December 31, 2016, we did not pay any fees to, make any equity awards or non-equity awards to or pay any other compensation to the non-employee members of our board of directors. Following the completion of this offering, our non-employee directors will receive compensation from us of $25,000 per non-employee director per annum.</w:t>
      </w:r>
    </w:p>
    <w:p>
      <w:pPr>
        <w:spacing w:after="0" w:line="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Fees Earned</w:t>
            </w:r>
          </w:p>
        </w:tc>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820" w:type="dxa"/>
            <w:vAlign w:val="bottom"/>
            <w:gridSpan w:val="2"/>
            <w:vMerge w:val="restart"/>
          </w:tcPr>
          <w:p>
            <w:pPr>
              <w:jc w:val="right"/>
              <w:ind w:right="2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or Paid in Cash</w:t>
            </w:r>
          </w:p>
        </w:tc>
        <w:tc>
          <w:tcPr>
            <w:tcW w:w="22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Daniel</w:t>
            </w:r>
          </w:p>
        </w:tc>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 Janney</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65,431</w:t>
            </w:r>
          </w:p>
        </w:tc>
        <w:tc>
          <w:tcPr>
            <w:tcW w:w="1160" w:type="dxa"/>
            <w:vAlign w:val="bottom"/>
            <w:tcBorders>
              <w:top w:val="single" w:sz="8" w:color="CCEEFF"/>
            </w:tcBorders>
            <w:shd w:val="clear" w:color="auto" w:fill="CCEEFF"/>
          </w:tcPr>
          <w:p>
            <w:pPr>
              <w:jc w:val="right"/>
              <w:ind w:right="903"/>
              <w:spacing w:after="0"/>
              <w:rPr>
                <w:sz w:val="20"/>
                <w:szCs w:val="20"/>
                <w:color w:val="auto"/>
              </w:rPr>
            </w:pPr>
            <w:r>
              <w:rPr>
                <w:rFonts w:ascii="Arial" w:cs="Arial" w:eastAsia="Arial" w:hAnsi="Arial"/>
                <w:sz w:val="15"/>
                <w:szCs w:val="15"/>
                <w:color w:val="auto"/>
                <w:w w:val="87"/>
              </w:rPr>
              <w:t>(2)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$65,431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80" w:type="dxa"/>
            <w:vAlign w:val="bottom"/>
          </w:tcPr>
          <w:p>
            <w:pPr>
              <w:spacing w:after="0"/>
              <w:rPr>
                <w:sz w:val="18"/>
                <w:szCs w:val="18"/>
                <w:color w:val="auto"/>
              </w:rPr>
            </w:pP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900" w:type="dxa"/>
            <w:vAlign w:val="bottom"/>
            <w:gridSpan w:val="2"/>
          </w:tcPr>
          <w:p>
            <w:pPr>
              <w:jc w:val="right"/>
              <w:ind w:right="903"/>
              <w:spacing w:after="0"/>
              <w:rPr>
                <w:sz w:val="20"/>
                <w:szCs w:val="20"/>
                <w:color w:val="auto"/>
              </w:rPr>
            </w:pPr>
            <w:r>
              <w:rPr>
                <w:rFonts w:ascii="Arial" w:cs="Arial" w:eastAsia="Arial" w:hAnsi="Arial"/>
                <w:sz w:val="18"/>
                <w:szCs w:val="18"/>
                <w:color w:val="auto"/>
              </w:rPr>
              <w:t>32,719</w:t>
            </w:r>
            <w:r>
              <w:rPr>
                <w:rFonts w:ascii="Arial" w:cs="Arial" w:eastAsia="Arial" w:hAnsi="Arial"/>
                <w:sz w:val="15"/>
                <w:szCs w:val="15"/>
                <w:color w:val="auto"/>
              </w:rPr>
              <w:t>(4)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32,719</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18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Kirti Ganorkar</w:t>
            </w: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900" w:type="dxa"/>
            <w:vAlign w:val="bottom"/>
            <w:gridSpan w:val="2"/>
          </w:tcPr>
          <w:p>
            <w:pPr>
              <w:jc w:val="right"/>
              <w:ind w:right="118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340" w:right="6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represent the grant date fair value of the stock options granted to the directors during the year ended December 31, 2016 as computed in accordance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with Financial Accounting Standards Board Accounting Standards Codification Topic 718. The assumptions used in calculating the grant date fair value of the stock options reported in the Option Awards column are set forth in Note 10 to our audited financial statements included in this prospectus. Note that the amounts reported in this column reflect the accounting cost for these stock options, and do not correspond to the actual economic value that may be received by our directors from the options.</w:t>
      </w:r>
    </w:p>
    <w:p>
      <w:pPr>
        <w:spacing w:after="0" w:line="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2016, Daniel S. Janney holds 37,894 options, issued on November 10, 2016 at an exercise price of $2.46 per share.</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total excludes two convertible promissory notes in the amount of $500,000 of principal plus accrued interest of $15,411 totaling $515,411 as of August 8, 2017. The notes were issued to Alta Bioequities, L.P., an investment entity owned and controlled by Mr. Janney, in November 2016 and May 2017, which were converted into 124,456 shares of preferred stock at a price of $4.14 per share on August 8, 2017. These preferred shares will automatically convert into 124,456 shares of common stock upon the closing of this offering.</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of December 31, 2016, R. Douglas Norby holds 18,949 options, issued on November 30, 2016 at an exercise price of $2.46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Ganorkar joined the board in September 2017.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for 2016, which consist of our principal executive officer and the next two most highly compensated executive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16"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Krish S. Krishnan, our Chief Executive Officer;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Suma M. Krishnan, our Chief Operating Officer;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Pooja Agarwal, our Vice President, Product Development.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the compensation of our named executive officers during the year ended 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Non-Equity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Bonus</w:t>
            </w:r>
          </w:p>
        </w:tc>
        <w:tc>
          <w:tcPr>
            <w:tcW w:w="1260" w:type="dxa"/>
            <w:vAlign w:val="bottom"/>
            <w:gridSpan w:val="3"/>
            <w:vMerge w:val="continue"/>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Awards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Compensation</w:t>
            </w:r>
          </w:p>
        </w:tc>
        <w:tc>
          <w:tcPr>
            <w:tcW w:w="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Krish S. Krishnan</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Suma M. Krishnan</w:t>
            </w:r>
          </w:p>
        </w:tc>
        <w:tc>
          <w:tcPr>
            <w:tcW w:w="6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4"/>
              </w:rPr>
              <w:t>2016</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center"/>
              <w:ind w:right="540"/>
              <w:spacing w:after="0" w:line="201"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Pooja Agarwal,</w:t>
            </w:r>
          </w:p>
        </w:tc>
        <w:tc>
          <w:tcPr>
            <w:tcW w:w="10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2"/>
              </w:rPr>
              <w:t>65,431</w:t>
            </w:r>
            <w:r>
              <w:rPr>
                <w:rFonts w:ascii="Arial" w:cs="Arial" w:eastAsia="Arial" w:hAnsi="Arial"/>
                <w:sz w:val="15"/>
                <w:szCs w:val="15"/>
                <w:color w:val="auto"/>
                <w:w w:val="92"/>
              </w:rPr>
              <w:t>(2)</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145,431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Vice President, Product Development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Pooja Agarwal provided services for a partial year, beginning May 1, 2016 until December 31, 2016.</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Pooja Agarwal holds 37,894 options, issued on November 10, 2016, which vest ratably over four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Krish S. Krishnan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entered into an “at-will” employment agreement with Krish S. Krishnan dated as of July 1, 2017. Prior to entering into this agreement, between April 15, 2016, the date we commenced operations, and June 30, 2017, Mr. Krishnan served as our President and Chief Executive Officer without compensation. Under the terms of the employment agreement, Mr. Krishnan continues to serve as President and Chief Executive Officer with a base salary of sixty thousand dollars ($60,000) per year, in addition to benefits made available by the Company to similarly-situated employees. Mr. Krishnan’s base salary will increase to $200,000 per year upon the closing of this offering. Mr. Krishnan’s employment agreement provides that he will be bound by the terms of the Company’s Proprietary Information and Inventions Agreement and that he shall not disclose to the Company any third party proprietary information or trade secrets.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Suma M. Krishnan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entered into an “at-will” employment agreement with Suma M. Krishnan dated as of May 1, 2017. Prior to entering into this agreement, and between the dates of April 15, 2016, the date we commenced operations, and May 1, 2017, Ms. Krishnan served as the Company’s Chief Operating Officer without compensation. Under the terms of the employment agreement, Ms. Krishnan continues to serve as the Chief Operating Officer. She receives a base salary of sixty thousand dollars ($60,000) per year, in addition to benefits made available by the Company to similarly-situated employees. Ms. Krishnan’s base salary will increase to $200,000 per year upon the closing of this offering. Ms. Krishnan’s employment agreement provides that she will be bound by the terms of the Company’s Proprietary Information and Inventions Agreement and that she shall not disclose to the Company any third party proprietary information or trade secrets.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Pooja Agarwal</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entered into an “at-will” employment agreement with Pooja Agarwal dated as of May 1, 2017. Prior to entering into this agreement, and between the dates of May 1, 2016 and May 1, 2017, Ms. Agarwal served as our consultant. Under the terms of the employment agreement, Ms. Agarwal serves as the Vice President of Product Development with a base salary of one hundred and sixty-five thousand dollars ($165,000) per year, in addition to benefits made available by the Company to similarly-situated employees. Ms. Agarwal’s employment agreement provides that she will be bound by the terms of the Company’s Proprietary Information and Inventions Agreement and that she shall not disclose to the Company any third-party proprietary information or trade secrets.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Opinion Leaders</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addition to our management and scientific teams, we are guided by key opinion leaders, or KOLs, who are generally accepted in the medical and scientific communities to be leading experts in the DEB and orphan dermatological disease space. Our senior management team consults with our KOLs on an as-needed and project basis. Our KOLs include Dr. Peter Marinkovich of the Department of Dermatology of Stanford University, Dr. Andrew South of the Department of Dermatology of Thomas Jefferson University and Dr. John McGrath of King’s College London. We entered into a consulting agreement with Dr. Marinkovich in April 2017, pursuant to which he assists us with the clinical trial design of our potential Phase 1/2 study for the treatment of DEB. Dr. Marinkovich is compensated on an hourly basis. Dr. South conducted the majority of our pre-clinical studies to date beginning in July 2016 and is compensated by us on a project by project basis, as well as on an hourly basis for participating in diligence efforts on our behalf. We entered into a consulting agreement with Dr. McGrath in July 2017, pursuant to which he assists us with the preclinical and clinical development of KB103. Dr. McGrath is compensated on an hourly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Equity-Based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outstanding equity awards of our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2"/>
                <w:szCs w:val="12"/>
                <w:color w:val="auto"/>
              </w:rPr>
            </w:pP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Awards:Number</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3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 Units</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4"/>
        </w:trPr>
        <w:tc>
          <w:tcPr>
            <w:tcW w:w="246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Unearned</w:t>
            </w:r>
          </w:p>
        </w:tc>
        <w:tc>
          <w:tcPr>
            <w:tcW w:w="160" w:type="dxa"/>
            <w:vAlign w:val="bottom"/>
          </w:tcPr>
          <w:p>
            <w:pPr>
              <w:spacing w:after="0"/>
              <w:rPr>
                <w:sz w:val="12"/>
                <w:szCs w:val="12"/>
                <w:color w:val="auto"/>
              </w:rPr>
            </w:pPr>
          </w:p>
        </w:tc>
        <w:tc>
          <w:tcPr>
            <w:tcW w:w="8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Exercise</w:t>
            </w:r>
          </w:p>
        </w:tc>
        <w:tc>
          <w:tcPr>
            <w:tcW w:w="10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Expiration</w:t>
            </w:r>
          </w:p>
        </w:tc>
        <w:tc>
          <w:tcPr>
            <w:tcW w:w="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 Stock</w:t>
            </w:r>
          </w:p>
        </w:tc>
        <w:tc>
          <w:tcPr>
            <w:tcW w:w="300" w:type="dxa"/>
            <w:vAlign w:val="bottom"/>
          </w:tcPr>
          <w:p>
            <w:pPr>
              <w:spacing w:after="0"/>
              <w:rPr>
                <w:sz w:val="12"/>
                <w:szCs w:val="12"/>
                <w:color w:val="auto"/>
              </w:rPr>
            </w:pPr>
          </w:p>
        </w:tc>
        <w:tc>
          <w:tcPr>
            <w:tcW w:w="88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of Stock</w:t>
            </w:r>
          </w:p>
        </w:tc>
        <w:tc>
          <w:tcPr>
            <w:tcW w:w="13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Unvested</w:t>
            </w:r>
          </w:p>
        </w:tc>
        <w:tc>
          <w:tcPr>
            <w:tcW w:w="64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7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Exercisable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300" w:type="dxa"/>
            <w:vAlign w:val="bottom"/>
          </w:tcPr>
          <w:p>
            <w:pPr>
              <w:spacing w:after="0"/>
              <w:rPr>
                <w:sz w:val="15"/>
                <w:szCs w:val="15"/>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Unvested</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10"/>
        </w:trPr>
        <w:tc>
          <w:tcPr>
            <w:tcW w:w="1120" w:type="dxa"/>
            <w:vAlign w:val="bottom"/>
            <w:tcBorders>
              <w:top w:val="single" w:sz="8" w:color="auto"/>
            </w:tcBorders>
            <w:shd w:val="clear" w:color="auto" w:fill="CCEEFF"/>
          </w:tcPr>
          <w:p>
            <w:pPr>
              <w:spacing w:after="0" w:line="110" w:lineRule="exact"/>
              <w:rPr>
                <w:sz w:val="20"/>
                <w:szCs w:val="20"/>
                <w:color w:val="auto"/>
              </w:rPr>
            </w:pPr>
            <w:r>
              <w:rPr>
                <w:rFonts w:ascii="Arial" w:cs="Arial" w:eastAsia="Arial" w:hAnsi="Arial"/>
                <w:sz w:val="12"/>
                <w:szCs w:val="12"/>
                <w:color w:val="auto"/>
              </w:rPr>
              <w:t>Krish S. Krishnan</w:t>
            </w:r>
          </w:p>
        </w:tc>
        <w:tc>
          <w:tcPr>
            <w:tcW w:w="13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Chief Executive</w:t>
            </w:r>
          </w:p>
        </w:tc>
        <w:tc>
          <w:tcPr>
            <w:tcW w:w="7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Officer</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Suma M. Krishnan Chief Operating</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160"/>
              <w:spacing w:after="0"/>
              <w:rPr>
                <w:sz w:val="20"/>
                <w:szCs w:val="20"/>
                <w:color w:val="auto"/>
              </w:rPr>
            </w:pPr>
            <w:r>
              <w:rPr>
                <w:rFonts w:ascii="Arial" w:cs="Arial" w:eastAsia="Arial" w:hAnsi="Arial"/>
                <w:sz w:val="14"/>
                <w:szCs w:val="14"/>
                <w:color w:val="auto"/>
              </w:rPr>
              <w:t>Officer</w:t>
            </w:r>
          </w:p>
        </w:tc>
        <w:tc>
          <w:tcPr>
            <w:tcW w:w="10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Pooja Agarwal Vice President,</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Product Development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center"/>
              <w:ind w:left="428"/>
              <w:spacing w:after="0"/>
              <w:rPr>
                <w:sz w:val="20"/>
                <w:szCs w:val="20"/>
                <w:color w:val="auto"/>
              </w:rPr>
            </w:pPr>
            <w:r>
              <w:rPr>
                <w:rFonts w:ascii="Arial" w:cs="Arial" w:eastAsia="Arial" w:hAnsi="Arial"/>
                <w:sz w:val="14"/>
                <w:szCs w:val="14"/>
                <w:color w:val="auto"/>
                <w:w w:val="93"/>
              </w:rPr>
              <w:t>37,894</w:t>
            </w:r>
            <w:r>
              <w:rPr>
                <w:rFonts w:ascii="Arial" w:cs="Arial" w:eastAsia="Arial" w:hAnsi="Arial"/>
                <w:sz w:val="12"/>
                <w:szCs w:val="12"/>
                <w:color w:val="auto"/>
                <w:w w:val="93"/>
              </w:rPr>
              <w:t>(1)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2.46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6"/>
              </w:rPr>
              <w:t>11/09/2026</w:t>
            </w: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580" w:right="3620" w:hanging="5572"/>
        <w:spacing w:after="0" w:line="449" w:lineRule="auto"/>
        <w:tabs>
          <w:tab w:leader="none" w:pos="3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Pooja Agarwal holds 37,894 options, issued on November 10, 2016, which vest ratably over four years. 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Krystal Biotech, LLC 2016 Equity Incentive Plan</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Krystal Biotech, LLC 2016 Equity Incentive Plan, or the 2016 Plan, was adopted on October 1, 2016 for the purpose of offering selected persons a proprietary interest in our success, or increasing such interest, by the grant of awards. The 2016 Plan terminated upon our conversion into a Delaware corporation on March 31, 2017, and options to purchase incentive units issued under that plan were, in accordance with the terms of the conversion and the original option awards, automatically converted into options to purchase shares of our common stock at the same exercise price per share.</w:t>
      </w:r>
    </w:p>
    <w:p>
      <w:pPr>
        <w:spacing w:after="0" w:line="4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terms of the 2016 Plan as it was in effect, our Board of Managers was authorized to issue options to purchase up to 189,472 incentive units. The number and kind of incentive units outstanding, and made available for future grants, would have been automatically adjusted in the event of any subdivision or combination of outstanding units, a recapitalization, a spin-off, a reclassification, a merger or consolidation or any other similar occurrence. The original term of the 2016 Plan was set to expire on September 30, 2026.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2016 Plan was administered by our Board of Managers, which had full authority and discretion to take any actions it deems necessary or advisable for the plan’s administration. All decisions, interpretations, and other actions of the Board of Managers were final and binding on all plan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Only service providers were eligible for the grant of incentive units, including incentive units to be issued on exercise of options, under the 2016 Plan. All awards under the plan were subject to any special forfeiture conditions, rights of repurchase, rights of first refusal, and other transfer restrictions determined by the Board of Managers in its discretion. The Board of Managers also had the sole discretion to decide the vesting schedules of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per incentive unit exercise price for an option, was determined by the Board of Managers in its sole discretion, and was required to equal or exceed one hundred percent (100%) of the fair market value per incentive unit on the date of grant. Any option granted under the 2016 Plan was exercisable at such times and under such conditions as determined by the Board of Managers, in accordance with the terms of the plan and the award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2016 Plan granted us the ability to determine the treatment of outstanding options to purchase incentive units upon the occurrence of any “company event,” which included a sale of all or substantially all of the Company’s assets, an acquisition of at least fifty percent (50%) of the outstanding units of the Company, the liquidation or dissolution of the Company, or a similar transaction, subject to the terms of any option agreement requiring specific treatment in such circumstances. Option award agreements issued under the 2016 Plan provided that options granted could be exercised, even if vested, only on the earlier of a company event or an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Krystal Biotech, Inc. 2017 Stock Incentive Plan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Krystal Biotech, Inc. 2017 Stock Incentive Plan, or the 2017 Plan, became effective on March 31, 2017 and was approved by shareholders on March 31, 2017. The 2017 Plan will continue in effect for a term of ten (10) years unless sooner terminated. The purpose of the plan is to attract and retain the best available personnel, to provide additional incentives to employees, directors, and consultants, and to promote the success of our business. Subject to adjustment as discussed below, the 2017 Plan authorizes 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to 193,050 shares of our common stock for issuance pursuant to the terms of the plan. If and to the extent that awards are forfeited, canceled, or expire, the shares subject to the award will again be available for grant under the 2017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Plan.</w:t>
      </w:r>
    </w:p>
    <w:p>
      <w:pPr>
        <w:spacing w:after="0" w:line="7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(i) the number of shares covered by each outstanding award; (ii) the number of shares authorized for issuance but as to which no awards have been granted (or which have been returned); (iii) the exercise or purchase price of each outstanding award; the maximum number of shares which may be granted to any grantee; and (iv) any other terms that the 2017 Plan administrator determines.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2017 Plan is administered by our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Our board of directors may also authorize officers to grant awards, subject to limitations under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Awards granted under the 2017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 of the exercise or purchase price of any of the awards issued under the 2017 Plan is as follows:</w:t>
      </w:r>
    </w:p>
    <w:p>
      <w:pPr>
        <w:spacing w:after="0" w:line="131" w:lineRule="exact"/>
        <w:rPr>
          <w:sz w:val="20"/>
          <w:szCs w:val="20"/>
          <w:color w:val="auto"/>
        </w:rPr>
      </w:pPr>
    </w:p>
    <w:p>
      <w:pPr>
        <w:ind w:left="660" w:right="100" w:hanging="206"/>
        <w:spacing w:after="0" w:line="291"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380"/>
        <w:spacing w:after="0" w:line="261" w:lineRule="auto"/>
        <w:rPr>
          <w:rFonts w:ascii="Arial" w:cs="Arial" w:eastAsia="Arial" w:hAnsi="Arial"/>
          <w:sz w:val="16"/>
          <w:szCs w:val="16"/>
          <w:color w:val="auto"/>
        </w:rPr>
      </w:pPr>
      <w:r>
        <w:rPr>
          <w:rFonts w:ascii="Arial" w:cs="Arial" w:eastAsia="Arial" w:hAnsi="Arial"/>
          <w:sz w:val="18"/>
          <w:szCs w:val="18"/>
          <w:color w:val="auto"/>
        </w:rPr>
        <w:t>(6) of the Internal Revenue Code, in which case the exercise price must exceed one hundred and ten percent (110%) of the fair market value per share on the date of grant);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base appreciation amount of SARs must equal or exceed one hundred percent (100%) of the fair market value per share on the date of grant;</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 share exercise or purchase price, if any, of performance-based compensation awards must equal or exceed one hundred percent (100%) of the fair market value per share on the date of grant; and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80" w:hanging="206"/>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 share exercise price of non-qualified stock options, the per share purchase price for the sale of shares, and the per share price of all other awards shall be determined by the 2017 Plan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Under the 2017 Plan, a corporate transaction includes: (i)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(ii) the sale of all or substantially all of the Company’s assets; the complete liquidation or dissolution of the Company; or (iii) an acquisition of securities possessing more than fifty percent (50%) of the total combined voting power of the Company’s outstanding securities. Under the 2017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84"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Effective upon the consummation of a corporate transaction, all outstanding awards under the 2017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2017 Plan is structured so that stock options and other performance-based awards may qualify for an exemption to the deduction limitation contained in Section 162(m) of the Internal Revenue Code,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Krystal Biotech, Inc. 2017 IPO Stock Incentive Plan</w:t>
      </w:r>
    </w:p>
    <w:p>
      <w:pPr>
        <w:spacing w:after="0" w:line="117" w:lineRule="exact"/>
        <w:rPr>
          <w:sz w:val="20"/>
          <w:szCs w:val="20"/>
          <w:color w:val="auto"/>
        </w:rPr>
      </w:pPr>
    </w:p>
    <w:p>
      <w:pPr>
        <w:ind w:left="460"/>
        <w:spacing w:after="0"/>
        <w:tabs>
          <w:tab w:leader="none" w:pos="8680" w:val="left"/>
        </w:tabs>
        <w:rPr>
          <w:sz w:val="20"/>
          <w:szCs w:val="20"/>
          <w:color w:val="auto"/>
        </w:rPr>
      </w:pPr>
      <w:r>
        <w:rPr>
          <w:rFonts w:ascii="Arial" w:cs="Arial" w:eastAsia="Arial" w:hAnsi="Arial"/>
          <w:sz w:val="18"/>
          <w:szCs w:val="18"/>
          <w:color w:val="auto"/>
        </w:rPr>
        <w:t>The Krystal Biotech, Inc. 2017 IPO Stock Incentive Plan, or the 2017 IPO Plan, became effective on</w:t>
      </w:r>
      <w:r>
        <w:rPr>
          <w:sz w:val="20"/>
          <w:szCs w:val="20"/>
          <w:color w:val="auto"/>
        </w:rPr>
        <w:tab/>
      </w:r>
      <w:r>
        <w:rPr>
          <w:rFonts w:ascii="Arial" w:cs="Arial" w:eastAsia="Arial" w:hAnsi="Arial"/>
          <w:sz w:val="15"/>
          <w:szCs w:val="15"/>
          <w:color w:val="auto"/>
        </w:rPr>
        <w:t>and was approved by shareholders on</w:t>
      </w:r>
    </w:p>
    <w:p>
      <w:pPr>
        <w:spacing w:after="0" w:line="23" w:lineRule="exact"/>
        <w:rPr>
          <w:sz w:val="20"/>
          <w:szCs w:val="20"/>
          <w:color w:val="auto"/>
        </w:rPr>
      </w:pPr>
    </w:p>
    <w:p>
      <w:pPr>
        <w:ind w:right="20" w:firstLine="908"/>
        <w:spacing w:after="0" w:line="268" w:lineRule="auto"/>
        <w:tabs>
          <w:tab w:leader="none" w:pos="9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It shall continue in effect for a term of ten (10) years unless sooner terminated. The purpose of this plan is to attract and retain the best available personnel, to provide additional incentives to employees, directors, and consultants, and to promote the success of the Company’s business. Subject to adjustment as discussed below, the 2017 IPO Plan initially authorizes up to 900,000 shares of Company common stock for issuance, which maximum amount shall be increased each calendar year by a number equal to four percent (4%) of the number of shares outstanding in the prior calendar year. The maximum aggregate number of shares available for incentive stock options is 900,000 and shall not be adjusted annually. If and to the extent that awards are forfeited, canceled, or expire, the shares subject to the award will again be available for grant under the 2017 IPO Plan. Additionally, to the extent any shares covered by an award are surrendered or withheld in payment of any exercise or purchase price, or in satisfaction of tax withholding obligations associated with the award, such shares subject to the award will again be available for grant under the 2017 IPO Plan.</w:t>
      </w:r>
    </w:p>
    <w:p>
      <w:pPr>
        <w:spacing w:after="0" w:line="7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case of any increase or decrease in the number of issued shares due to a stock split, reverse stock split, stock dividend, recapitalization, or other such transaction affecting shares, or, in the case of a corporate merger, consolidation, acquisition, reorganization, or liquidation, then proportionate adjustments shall be made for: the number of shares covered by each outstanding award; the number of shares authorized for issuance but as to which no awards have been granted (or which have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returned); the exercise or purchase price of each outstanding award; the maximum number of shares which may be granted to any grantee; and any other terms that the 2017 IPO Plan administrator determines.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2017 IPO Plan is administered by the Board of Directors or any committees designated by the Board of Directors to administer the plan. The administrator has the authority, in its discretion, to select the employees, directors and consultants to whom awards may be granted and to determine whether and to what extent such awards will be granted. Subject to the terms of the 2017 IPO Plan, the administrator shall determine the provisions, terms, and conditions of each award including, but not limited to: the award vesting schedule, repurchase provisions, rights of first refusal, forfeiture provisions, form of payment upon settlement of the award, payment contingencies, the number of shares or amount of other consideration to be covered by awards, and satisfaction of any performance criteria (which the administrator will establish). The Board of Directors may also authorize officers to grant awards, subject to limitations under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Awards and Stock Options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Awards granted under the 2017 IPO Plan may include, without limitation, options (including incentive stock options or non-qualified stock options), stock appreciation rights (SARs), dividend equivalent rights, restricted stock, and restricted stock units. Awards other than incentive stock options may be granted to employees, directors, and consultants, whereas incentive stock options may be granted only to employees of the Company or its parent or subsidiary. The term of each award may not exceed ten (10) years from its date of grant (or five (5) years, in the case of an incentive stock option granted to a ten percent (10%) shareholder within the meaning of Section 422(b)(6) of the Internal Revenue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Exercise or Purchase Price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Determination of the exercise or purchase price of any of the awards issued under the 2017 IPO Plan is as follows:</w:t>
      </w:r>
    </w:p>
    <w:p>
      <w:pPr>
        <w:spacing w:after="0" w:line="131" w:lineRule="exact"/>
        <w:rPr>
          <w:sz w:val="20"/>
          <w:szCs w:val="20"/>
          <w:color w:val="auto"/>
        </w:rPr>
      </w:pPr>
    </w:p>
    <w:p>
      <w:pPr>
        <w:ind w:left="660" w:right="120" w:hanging="206"/>
        <w:spacing w:after="0" w:line="291"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per share exercise price of incentive stock options must equal or exceed one hundred percent (100%) of the fair market value per share on the date of grant (unless granted to an employee who, at the time of such grant is a ten percent (10%) shareholder within the meaning of Section 422(b)</w:t>
      </w:r>
    </w:p>
    <w:p>
      <w:pPr>
        <w:ind w:left="660" w:right="400"/>
        <w:spacing w:after="0" w:line="261" w:lineRule="auto"/>
        <w:rPr>
          <w:rFonts w:ascii="Arial" w:cs="Arial" w:eastAsia="Arial" w:hAnsi="Arial"/>
          <w:sz w:val="16"/>
          <w:szCs w:val="16"/>
          <w:color w:val="auto"/>
        </w:rPr>
      </w:pPr>
      <w:r>
        <w:rPr>
          <w:rFonts w:ascii="Arial" w:cs="Arial" w:eastAsia="Arial" w:hAnsi="Arial"/>
          <w:sz w:val="18"/>
          <w:szCs w:val="18"/>
          <w:color w:val="auto"/>
        </w:rPr>
        <w:t>(6) of the Internal Revenue Code, in which case the exercise price must exceed one hundred and ten percent (110%) of the fair market value per share on the date of grant);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base appreciation amount of SARs must equal or exceed one hundred percent (100%) of the fair market value per share on the date of grant;</w:t>
      </w:r>
    </w:p>
    <w:p>
      <w:pPr>
        <w:spacing w:after="0" w:line="153" w:lineRule="exact"/>
        <w:rPr>
          <w:rFonts w:ascii="Arial" w:cs="Arial" w:eastAsia="Arial" w:hAnsi="Arial"/>
          <w:sz w:val="16"/>
          <w:szCs w:val="16"/>
          <w:color w:val="auto"/>
        </w:rPr>
      </w:pPr>
    </w:p>
    <w:p>
      <w:pPr>
        <w:ind w:left="660" w:right="20" w:hanging="206"/>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 share exercise or purchase price, if any, of performance-based compensation awards must equal or exceed one hundred percent (100%) of the fair market value per share on the date of grant;</w:t>
      </w:r>
    </w:p>
    <w:p>
      <w:pPr>
        <w:spacing w:after="0" w:line="75"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 share exercise price of non-qualified stock options must equal or exceed one hundred percent (100%) of the fair market value per share on the date of grant;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 share price of all other awards shall be determined by the 2017 IPO Plan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 and Change in Control Provisions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2017 IPO Plan, a corporate transaction includes: a merger or consolidation in which the Company is not the surviving entity or certain reverse mergers in which the Company is the surviving entity but all outstanding common stock is converted or more than fifty percent (50%) of the total combined voting power of the Company’s outstanding securities are transferred to a new shareholder(s); the sale of all or substantially all of the Company’s assets; the complete liquidation or dissolution of the Company; or an acquisition of securities possessing more than fifty percent (50%) of the total combined voting power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outstanding securities. Under the 2017 IPO Plan, a change in control is defined as either the acquisition of more than fifty percent (50%) of the total combined voting power of the Company’s outstanding securities pursuant to a hostile tender or exchange offer; or a change in the composition of the Board of Directors taking place over one year or less, whereby a majority of Board members cease to be continuing directors by reason of contested elections for Board membership.</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Effective upon the consummation of a corporate transaction, all outstanding awards under the 2017 IPO Plan shall terminate, unless they are assumed. The plan administrator shall have the authority, exercisable either in advance or at the time of any actual or anticipated corporate transaction or change in control, to accelerate vesting and exercisability of outstanding unvested awards, as well as the release from restrictions on transfer and repurchase or forfeiture rights of such awards on such terms and conditions as the administrator may specify, including conditioning such acceleration upon the subsequent termination of the employment of the grantee within a specified period following the effective date of the corporate transaction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2017 IPO Plan is structured so that stock options and other performance-based awards, including cash-based awards, may qualify for an exemption to the deduction limitation contained in Section 162(m) of the Internal Revenue Code, to the extent applicable. The maximum number of shares with respect to which options and SARs may be granted to any grantee in any calendar year shall be 700,000 shares, plus an initial grant with respect to options and SARs may be made in connection with commencement of employment of 700,000 shares. A maximum number of shares with respect to which awards of restricted stock and RSUs that are intended to be performance-based compensation for purposes of Section 162(m), may be granted to any grantee in any calendar year shall be 700,000 shares. The total amount of cash-based awards that may be granted is $5,000,000 and no more than $5,000,000 in cash-based awards that are intended to be performance-based may be made in a 12 month period. No more than eight percent (8%) of shares may be granted to a member of the Board of Directors as compensation for services as a Board member in any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Awards are subject to clawbacks in accordance with Company policy or as required by applicable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second amended and restated certificate of incorporation that will become effective in connection with the completion of this offering contains provisions that limit the liability of our directors for monetary damages to the fullest extent permitted by the Delaware General Corporation Law, or DGCL. Consequently, our directors will not be personally liable to us or our stockholders for monetary damages for any breach of fiduciary duties as directors, except liability for:</w:t>
      </w:r>
    </w:p>
    <w:p>
      <w:pPr>
        <w:spacing w:after="0" w:line="92" w:lineRule="exact"/>
        <w:rPr>
          <w:sz w:val="20"/>
          <w:szCs w:val="20"/>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Our second amended and restated certificate of incorporation and our amended and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of our key employees, in addition to the indemnification provided for in our second amended and restated certificate of incorporation and amended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believe that provisions of our second amended and restated certificate of incorporation amended and, bylaws and indemnification agreements are necessary to attract and retain qualified directors, officers and key employees. We also maintain directors’ and officers’ liability insurance.</w:t>
      </w:r>
    </w:p>
    <w:p>
      <w:pPr>
        <w:spacing w:after="0" w:line="16"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AND OTHER TRANSACTIONS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to the executive officer and director compensation arrangements discussed above under “Management—Non-Employee Director Compensation” and “Executive Compensation,” below we describe transactions since our inception to which we have been or will be a participant, in which the amount involved in the transaction exceeds or will exceed $120,000 and in which any of our directors, executive officers or beneficial holders of more than 5% of any class of our capital stock, or any immediate family member of, or person sharing the household with, any of these individuals, had or will have a direct or indirect material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Seed Financing</w:t>
      </w:r>
    </w:p>
    <w:p>
      <w:pPr>
        <w:spacing w:after="0" w:line="117"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On April 15, 2016, we authorized 100 member units and issued 450 member units on a split-adjusted basis in the aggregate to Krish S. Krishnan and Suma M. Krishnan for aggregate proceeds of $100 thousand. On September 30, 2016, we converted all of the member units into an aggregate of 12,771 preferred units at an issue price of $7.83 per unit plus 3,490,884 common units, and issued an additional 96,345 preferred units to Mr. Krishnan and</w:t>
      </w:r>
    </w:p>
    <w:p>
      <w:pPr>
        <w:ind w:right="560"/>
        <w:spacing w:after="0" w:line="261" w:lineRule="auto"/>
        <w:rPr>
          <w:sz w:val="20"/>
          <w:szCs w:val="20"/>
          <w:color w:val="auto"/>
        </w:rPr>
      </w:pPr>
      <w:r>
        <w:rPr>
          <w:rFonts w:ascii="Arial" w:cs="Arial" w:eastAsia="Arial" w:hAnsi="Arial"/>
          <w:sz w:val="18"/>
          <w:szCs w:val="18"/>
          <w:color w:val="auto"/>
        </w:rPr>
        <w:t>Ms. Krishnan at the same price for aggregate proceeds of $754 thousand. On December 27, 2016, we issued an additional 70,497 preferred units in the aggregate to Mr. Krishnan and Ms. Krishnan at the same price for aggregate proceeds of $552 thousand.</w:t>
      </w:r>
    </w:p>
    <w:p>
      <w:pPr>
        <w:spacing w:after="0" w:line="7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converted from a California limited liability company to a Delaware corporation on March 31, 2017, and upon such entity conversion, all preferred units were converted to preferred stock on a 1:1 basis and all common units were converted to common stock on a 1:1 basis. Each share of preferred stock will automatically convert into one share of our common stock immediately prior to the completion of this offering.</w:t>
      </w:r>
    </w:p>
    <w:p>
      <w:pPr>
        <w:spacing w:after="0" w:line="5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the preferred stock and common stock purchased by our directors, executive officers and beneficial holders of more than 5% of our capital stock:</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Shares of</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Shares of</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Krish S. Krishnan</w:t>
            </w:r>
          </w:p>
        </w:tc>
        <w:tc>
          <w:tcPr>
            <w:tcW w:w="5020" w:type="dxa"/>
            <w:vAlign w:val="bottom"/>
            <w:tcBorders>
              <w:top w:val="single" w:sz="8" w:color="CCEEFF"/>
            </w:tcBorders>
            <w:shd w:val="clear" w:color="auto" w:fill="CCEEFF"/>
          </w:tcPr>
          <w:p>
            <w:pPr>
              <w:jc w:val="right"/>
              <w:ind w:right="4763"/>
              <w:spacing w:after="0"/>
              <w:rPr>
                <w:sz w:val="20"/>
                <w:szCs w:val="20"/>
                <w:color w:val="auto"/>
              </w:rPr>
            </w:pPr>
            <w:r>
              <w:rPr>
                <w:rFonts w:ascii="Arial" w:cs="Arial" w:eastAsia="Arial" w:hAnsi="Arial"/>
                <w:sz w:val="15"/>
                <w:szCs w:val="15"/>
                <w:color w:val="auto"/>
                <w:w w:val="87"/>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1,745,442</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Suma M. Krishnan</w:t>
            </w:r>
            <w:r>
              <w:rPr>
                <w:rFonts w:ascii="Arial" w:cs="Arial" w:eastAsia="Arial" w:hAnsi="Arial"/>
                <w:sz w:val="15"/>
                <w:szCs w:val="15"/>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1,745,442</w:t>
            </w: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145,888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935,456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Janney</w:t>
            </w:r>
            <w:r>
              <w:rPr>
                <w:rFonts w:ascii="Arial" w:cs="Arial" w:eastAsia="Arial" w:hAnsi="Arial"/>
                <w:sz w:val="15"/>
                <w:szCs w:val="15"/>
                <w:color w:val="auto"/>
              </w:rPr>
              <w:t>(3)</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130,590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1,515,440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Sun Pharma (Netherlands) B.V.</w:t>
            </w:r>
            <w:r>
              <w:rPr>
                <w:rFonts w:ascii="Arial" w:cs="Arial" w:eastAsia="Arial" w:hAnsi="Arial"/>
                <w:sz w:val="15"/>
                <w:szCs w:val="15"/>
                <w:color w:val="auto"/>
              </w:rPr>
              <w:t>(4)</w:t>
            </w: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914,107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line="252"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Krishnan is our President and Chief Executive Officer and Chairman of our board of directors. This table reflects the beneficial ownership by Mr. Krishnan of 112,162 shares of preferred stock held by the Krishnan Family Trust , which will automatically convert into 112,162 shares of common stock upon the closing of this offering. Mr. and Ms. Krishnan are each joint beneficial owners of the trust, and the 112,162 preferred shares held by the trust have been divided equally between Mr. and Ms. Krishnan for purposes of this disclosure. The Krishnan Family Trust was issued a convertible promissory note in the aggregate amount of $448,000, due June 2018 and bearing an interest rate of 6% per annum. In accordance with its terms, the principal and accrued interest on the note converted into 112,162 shares of Series A preferred stock at $4.14 per share on August 8, 2017. These preferred shares will automatically convert on a one-to-one basis into 112,162 shares of common stock upon the closing of this offering. The aggregate purchase price of the promissory note issued to the Krishnan Family Trust has also been divided equally between Mr. and Ms. Krishnan for purposes of this disclosure.</w:t>
      </w:r>
    </w:p>
    <w:p>
      <w:pPr>
        <w:spacing w:after="0" w:line="3" w:lineRule="exact"/>
        <w:rPr>
          <w:rFonts w:ascii="Arial" w:cs="Arial" w:eastAsia="Arial" w:hAnsi="Arial"/>
          <w:sz w:val="18"/>
          <w:szCs w:val="18"/>
          <w:color w:val="auto"/>
        </w:rPr>
      </w:pPr>
    </w:p>
    <w:p>
      <w:pPr>
        <w:ind w:left="340" w:right="180" w:hanging="332"/>
        <w:spacing w:after="0" w:line="25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Ms. Krishnan is our Chief Operating Officer and member of our board of directors. This table reflects the beneficial ownership by Ms. Krishnan of 112,162 shares of preferred stock held by the Krishnan Family Trust, which will automatically convert into 112,162 shares of common stock upon the closing of this offering. Mr. and Ms. Krishnan are each joint beneficial owners of the trust, and the 112,162 preferred shares held by the trust have been divided equally between Mr. and Ms. Krishnan for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purposes of this disclosure. The Krishnan Family Trust was issued a convertible promissory note in the aggregate amount of $448,000, due June 2018 and bearing an interest rate of 6% per annum. In accordance with its terms, the principal and accrued interest on the note converted into 112,162 shares of Series A preferred stock at $4.14 per share on August 8, 2017. These preferred shares will automatically convert on a one-to-one basis into</w:t>
      </w:r>
    </w:p>
    <w:p>
      <w:pPr>
        <w:ind w:left="340" w:right="280"/>
        <w:spacing w:after="0" w:line="250" w:lineRule="auto"/>
        <w:rPr>
          <w:sz w:val="20"/>
          <w:szCs w:val="20"/>
          <w:color w:val="auto"/>
        </w:rPr>
      </w:pPr>
      <w:r>
        <w:rPr>
          <w:rFonts w:ascii="Arial" w:cs="Arial" w:eastAsia="Arial" w:hAnsi="Arial"/>
          <w:sz w:val="18"/>
          <w:szCs w:val="18"/>
          <w:color w:val="auto"/>
        </w:rPr>
        <w:t>112,162 shares of common stock upon the closing of this offering. The aggregate purchase price of the promissory note issued to the Krishnan Family Trust has also been divided equally between Mr. and Ms. Krishnan for purposes of this disclosure.</w:t>
      </w:r>
    </w:p>
    <w:p>
      <w:pPr>
        <w:spacing w:after="0" w:line="1" w:lineRule="exact"/>
        <w:rPr>
          <w:sz w:val="20"/>
          <w:szCs w:val="20"/>
          <w:color w:val="auto"/>
        </w:rPr>
      </w:pPr>
    </w:p>
    <w:p>
      <w:pPr>
        <w:ind w:left="340" w:right="120" w:hanging="332"/>
        <w:spacing w:after="0" w:line="250"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Janney is a member of our board of directors and is chairman of the compensation committee and a member of the audit committee. The table reflects ownership of common stock and preferred stock held by an investment entity owned and controlled by Mr. Janney, including the conversion of two convertible promissory notes in the aggregate amount of $500,000, due May 2018 and bearing an interest rate of 6% per annum, that were issued to an investment entity owned and controlled by Mr. Janney and which, in accordance with its terms, were converted into 124,457 shares of Series A preferred stock at $4.14 per share on August 8, 2017. These preferred shares will automatically convert on a one-to-one basis into 124,457 shares of common stock upon the closing of this offering.</w:t>
      </w:r>
    </w:p>
    <w:p>
      <w:pPr>
        <w:spacing w:after="0" w:line="2"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table reflects the purchase by Sun Pharma (Netherlands) B.V., of 914,107 shares of preferred stock, which convert into 914,107 shares of common stock as of the closing of this offering. Sun Pharma (Netherlands) B.V. is a wholly-owned subsidiary of Sun Pharmaceuticals Industries Ltd., a public company listed on the National Stock Exchange of India and Bombay Stock Exchange. Mr. Garnorkar, who serves as a director on our board of directors, disclaims all beneficial ownership of these shares, and all shares indicated as owned by Mr. Ganorkar are included because of his affiliation with Sun Pharmaceuticals Industries Ltd., of which he is an employee.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Financing</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November 2016 and May 2017, we issued two convertible promissory notes in the aggregate amount of $500,000 to Alta Bioequities, L.P., an investment entity owned and controlled by a member of our board of directors, Daniel S. Janney. The notes were due in May 2018 and bore interest at a rate of 6% per annum. In accordance with their terms, the principal and accrued interest on the notes converted into 124,456 shares of Series A preferred stock at $4.14 per share on August 8, 2017. These preferred shares will automatically convert on a one-to-one basis into 124,456 shares of common stock on a one-to-one basis upon the closing of this offering.</w:t>
      </w:r>
    </w:p>
    <w:p>
      <w:pPr>
        <w:spacing w:after="0" w:line="8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December 2016, we issued a convertible promissory note in the aggregate amount of $448,000 to the Krishnan Family Trust, a trust jointly controlled by our President, Chief Executive Officer and Chairman of the board of directors, Krish S. Krishnan, and our founder, Chief Operating Officer and director, Suma M. Krishnan. The note was due in June 2018 and bore interest at a rate of 6% per annum. In accordance with its terms, the principal and accrued interest on the note converted into 112,162 shares of Series A preferred stock at $4.14 per share on August 8, 2017. These preferred shares will automatically convert on a one-to-one basis into 112,162 shares of common stock upon the closing of this offering.</w:t>
      </w:r>
    </w:p>
    <w:p>
      <w:pPr>
        <w:spacing w:after="0" w:line="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June 2017, we issued a convertible promissory note to Dino A. Rossi, a member of our board of directors, in the amount of $750,000. The note was due in May 2018 and bore interest at a rate of 6% per annum. In accordance with its terms, the principal and accrued interest on the note converted into 123,691 shares of Series A preferred stock at a price of $6.13 per share on August 8, 2017. These preferred shares will automatically convert on a one-to-one basis into 123,691 shares of common stock upon the closing of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 Pharma Private Placement</w:t>
      </w:r>
    </w:p>
    <w:p>
      <w:pPr>
        <w:spacing w:after="0" w:line="117"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In August 2017, we issued 914,107 shares of Series A Preferred Stock, or Series A Preferred, to Sun Pharma (Netherlands) B.V., or Sun Pharma, an indirect subsidiary of Sun Pharmaceutical Industries Limited pursuant to a stock purchase agreement, for aggregate proceeds to us of approximately $7.0 million. For so long as it is a holder of Series A Preferred, Sun Pharma has a right to designate and have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elected a single representative to our board of directors and accordingly, in September 2017, Kirti Ganorkan was elected to our board of directors. Each share of Series A Preferred will convert into a share of common stock upon the closing of this offering on a one-to-one basis. Sun Pharma is a 5% holder of our capital stock.</w:t>
      </w:r>
    </w:p>
    <w:p>
      <w:pPr>
        <w:spacing w:after="0" w:line="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Subsequently, in August, following the completion of the Sun Pharma investment, Daniel S. Janney, a member of our board of directors, purchased 130,590 shares of our common stock at the same price per share paid by Sun Pharma, $7.66 per share, through an investment entity owned and controlled by Mr. Janney for total consideration of approximately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are party to an investors’ rights agreement which provides that the holders of common stock issuable upon conversion of our convertible preferred stock and our two founders and executive officers have the right to demand that we file a registration statement or request that their shares of common stock be covered by a registration statement that we are otherwise filing. For a description of these registration rights, see the section titled “Description of Capital Stock—Registration Rights.” In addition to the registration rights, the investors’ rights agreement provides for certain information rights and rights of first refusal. The provisions of the investors’ rights agreement, other than those relating to registration rights, will terminate upon the completion of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to Executive Officers and Directors</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We have granted stock options to certain of our executive officers and certain directors, as more fully described in the sections entitled “Executive Compensation” and “Management—Non-Employee Director Compensation,” respectively. In addition, following the completion of our initial public offering, our non-employee directors will receive compensation from us of $25,000 per non-employee director per annum.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The indemnification agreements, our second amended and restated certificate of incorporation and our amended and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this offering, we adopted a written related-person transactions policy that provides that our executive officers, directors, nominees for election as a director, beneficial owners of more than 5% of our common stock and any members of the immediate family of the foregoing persons, are not permitted to enter into a material related-person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August 15, 2017, as adjusted to reflect the shares of common stock to be issued and sold by us in this offering, by:</w:t>
      </w:r>
    </w:p>
    <w:p>
      <w:pPr>
        <w:spacing w:after="0" w:line="76" w:lineRule="exact"/>
        <w:rPr>
          <w:sz w:val="20"/>
          <w:szCs w:val="20"/>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options or warrants held by that person that are currently exercisable or exercisable within 60 days of August 31, 2017. We did not deem these shares outstanding, however, for the purpose of computing the percentage ownership of any other person.</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based percentage ownership of our common stock prior to this offering on 5,683,247 shares of our common stock outstanding as of August 31, 2017, which includes (i) 130,590 shares of common stock issued to an entity owned and controlled by Daniel S. Janney, a member of our board of directors in August 2017; (ii) 2,061,773 shares of our preferred stock which automatically convert to our common stock on a one-to-one basis immediately prior to the completion of this offering, and which includes 179,613 shares of our Series Seed preferred stock, 968,053 shares of our preferred stock issued on August 8, 2017 upon conversion of our outstanding convertible promissory notes and accrued interest thereon, and 914,107 shares of Series A preferred stock issued on August 8, 2017 to Sun Pharma (Netherlands) B.V.; and (iii) the 1-to-4.5 forward stock split, in the form of a dividend, which will occur prior to the effectiveness of this registration statement. Percentage ownership of our common stock after this offering assumes the sale by us of 3,000,000 shares of common stock in this offering. 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The information set forth in the table below does not reflect any such purchases.</w:t>
      </w:r>
    </w:p>
    <w:p>
      <w:pPr>
        <w:spacing w:after="0" w:line="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Unless otherwise indicated, the address of each beneficial owner listed on the table below is c/o Krystal Biotech, Inc., 2100 Wharton Street, Suite 701, Pittsburgh, Pennsylvania 15203.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Shares Beneficially Owned</w:t>
            </w: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00" w:type="dxa"/>
            <w:vAlign w:val="bottom"/>
          </w:tcPr>
          <w:p>
            <w:pPr>
              <w:spacing w:after="0"/>
              <w:rPr>
                <w:sz w:val="14"/>
                <w:szCs w:val="14"/>
                <w:color w:val="auto"/>
              </w:rPr>
            </w:pPr>
          </w:p>
        </w:tc>
        <w:tc>
          <w:tcPr>
            <w:tcW w:w="28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Prior to this Offering</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2"/>
        </w:trPr>
        <w:tc>
          <w:tcPr>
            <w:tcW w:w="434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1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Krish S. Krishnan</w:t>
            </w:r>
          </w:p>
        </w:tc>
        <w:tc>
          <w:tcPr>
            <w:tcW w:w="3360" w:type="dxa"/>
            <w:vAlign w:val="bottom"/>
            <w:gridSpan w:val="3"/>
          </w:tcPr>
          <w:p>
            <w:pPr>
              <w:jc w:val="right"/>
              <w:ind w:right="500"/>
              <w:spacing w:after="0"/>
              <w:rPr>
                <w:sz w:val="20"/>
                <w:szCs w:val="20"/>
                <w:color w:val="auto"/>
              </w:rPr>
            </w:pPr>
            <w:r>
              <w:rPr>
                <w:rFonts w:ascii="Arial" w:cs="Arial" w:eastAsia="Arial" w:hAnsi="Arial"/>
                <w:sz w:val="18"/>
                <w:szCs w:val="18"/>
                <w:color w:val="auto"/>
              </w:rPr>
              <w:t>1,891,330</w:t>
            </w:r>
            <w:r>
              <w:rPr>
                <w:rFonts w:ascii="Arial" w:cs="Arial" w:eastAsia="Arial" w:hAnsi="Arial"/>
                <w:sz w:val="15"/>
                <w:szCs w:val="15"/>
                <w:color w:val="auto"/>
              </w:rPr>
              <w:t>(1)</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1,891,330</w:t>
            </w:r>
            <w:r>
              <w:rPr>
                <w:rFonts w:ascii="Arial" w:cs="Arial" w:eastAsia="Arial" w:hAnsi="Arial"/>
                <w:sz w:val="15"/>
                <w:szCs w:val="15"/>
                <w:color w:val="auto"/>
                <w:w w:val="95"/>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Suma M. Krishnan</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1,891,330</w:t>
            </w:r>
            <w:r>
              <w:rPr>
                <w:rFonts w:ascii="Arial" w:cs="Arial" w:eastAsia="Arial" w:hAnsi="Arial"/>
                <w:sz w:val="15"/>
                <w:szCs w:val="15"/>
                <w:color w:val="auto"/>
              </w:rPr>
              <w:t>(1)</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1,891,330</w:t>
            </w:r>
            <w:r>
              <w:rPr>
                <w:rFonts w:ascii="Arial" w:cs="Arial" w:eastAsia="Arial" w:hAnsi="Arial"/>
                <w:sz w:val="15"/>
                <w:szCs w:val="15"/>
                <w:color w:val="auto"/>
                <w:w w:val="95"/>
              </w:rPr>
              <w:t>(1)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Pooja Agarwal</w:t>
            </w:r>
          </w:p>
        </w:tc>
        <w:tc>
          <w:tcPr>
            <w:tcW w:w="190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Janney</w:t>
            </w:r>
          </w:p>
        </w:tc>
        <w:tc>
          <w:tcPr>
            <w:tcW w:w="3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255,046</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255,046</w:t>
            </w:r>
            <w:r>
              <w:rPr>
                <w:rFonts w:ascii="Arial" w:cs="Arial" w:eastAsia="Arial" w:hAnsi="Arial"/>
                <w:sz w:val="15"/>
                <w:szCs w:val="15"/>
                <w:color w:val="auto"/>
              </w:rPr>
              <w:t>(2)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190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Dino A. Rossi</w:t>
            </w:r>
          </w:p>
        </w:tc>
        <w:tc>
          <w:tcPr>
            <w:tcW w:w="3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123,691</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123,691</w:t>
            </w:r>
            <w:r>
              <w:rPr>
                <w:rFonts w:ascii="Arial" w:cs="Arial" w:eastAsia="Arial" w:hAnsi="Arial"/>
                <w:sz w:val="15"/>
                <w:szCs w:val="15"/>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Kirti Ganorkar</w:t>
            </w:r>
          </w:p>
        </w:tc>
        <w:tc>
          <w:tcPr>
            <w:tcW w:w="3360" w:type="dxa"/>
            <w:vAlign w:val="bottom"/>
            <w:gridSpan w:val="3"/>
          </w:tcPr>
          <w:p>
            <w:pPr>
              <w:jc w:val="right"/>
              <w:ind w:right="500"/>
              <w:spacing w:after="0"/>
              <w:rPr>
                <w:sz w:val="20"/>
                <w:szCs w:val="20"/>
                <w:color w:val="auto"/>
              </w:rPr>
            </w:pPr>
            <w:r>
              <w:rPr>
                <w:rFonts w:ascii="Arial" w:cs="Arial" w:eastAsia="Arial" w:hAnsi="Arial"/>
                <w:sz w:val="18"/>
                <w:szCs w:val="18"/>
                <w:color w:val="auto"/>
              </w:rPr>
              <w:t>914,107</w:t>
            </w:r>
            <w:r>
              <w:rPr>
                <w:rFonts w:ascii="Arial" w:cs="Arial" w:eastAsia="Arial" w:hAnsi="Arial"/>
                <w:sz w:val="15"/>
                <w:szCs w:val="15"/>
                <w:color w:val="auto"/>
              </w:rPr>
              <w:t>(4)</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914,107</w:t>
            </w:r>
            <w:r>
              <w:rPr>
                <w:rFonts w:ascii="Arial" w:cs="Arial" w:eastAsia="Arial" w:hAnsi="Arial"/>
                <w:sz w:val="15"/>
                <w:szCs w:val="15"/>
                <w:color w:val="auto"/>
              </w:rPr>
              <w:t>(4)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Krish S. Krishnan</w:t>
            </w:r>
          </w:p>
        </w:tc>
        <w:tc>
          <w:tcPr>
            <w:tcW w:w="3360" w:type="dxa"/>
            <w:vAlign w:val="bottom"/>
            <w:gridSpan w:val="3"/>
          </w:tcPr>
          <w:p>
            <w:pPr>
              <w:jc w:val="right"/>
              <w:ind w:right="500"/>
              <w:spacing w:after="0"/>
              <w:rPr>
                <w:sz w:val="20"/>
                <w:szCs w:val="20"/>
                <w:color w:val="auto"/>
              </w:rPr>
            </w:pPr>
            <w:r>
              <w:rPr>
                <w:rFonts w:ascii="Arial" w:cs="Arial" w:eastAsia="Arial" w:hAnsi="Arial"/>
                <w:sz w:val="18"/>
                <w:szCs w:val="18"/>
                <w:color w:val="auto"/>
              </w:rPr>
              <w:t>1,891,330</w:t>
            </w:r>
            <w:r>
              <w:rPr>
                <w:rFonts w:ascii="Arial" w:cs="Arial" w:eastAsia="Arial" w:hAnsi="Arial"/>
                <w:sz w:val="15"/>
                <w:szCs w:val="15"/>
                <w:color w:val="auto"/>
              </w:rPr>
              <w:t>(1)</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33.3%</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1,891,330</w:t>
            </w:r>
            <w:r>
              <w:rPr>
                <w:rFonts w:ascii="Arial" w:cs="Arial" w:eastAsia="Arial" w:hAnsi="Arial"/>
                <w:sz w:val="15"/>
                <w:szCs w:val="15"/>
                <w:color w:val="auto"/>
                <w:w w:val="95"/>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Suma M. Krishnan</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1,891,330</w:t>
            </w:r>
            <w:r>
              <w:rPr>
                <w:rFonts w:ascii="Arial" w:cs="Arial" w:eastAsia="Arial" w:hAnsi="Arial"/>
                <w:sz w:val="15"/>
                <w:szCs w:val="15"/>
                <w:color w:val="auto"/>
              </w:rPr>
              <w:t>(1)</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33.3%</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1,891,330</w:t>
            </w:r>
            <w:r>
              <w:rPr>
                <w:rFonts w:ascii="Arial" w:cs="Arial" w:eastAsia="Arial" w:hAnsi="Arial"/>
                <w:sz w:val="15"/>
                <w:szCs w:val="15"/>
                <w:color w:val="auto"/>
                <w:w w:val="95"/>
              </w:rPr>
              <w:t>(1)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Sun Pharma (Netherlands) B.V.</w:t>
            </w:r>
          </w:p>
        </w:tc>
        <w:tc>
          <w:tcPr>
            <w:tcW w:w="3360" w:type="dxa"/>
            <w:vAlign w:val="bottom"/>
            <w:gridSpan w:val="3"/>
          </w:tcPr>
          <w:p>
            <w:pPr>
              <w:jc w:val="right"/>
              <w:ind w:right="500"/>
              <w:spacing w:after="0"/>
              <w:rPr>
                <w:sz w:val="20"/>
                <w:szCs w:val="20"/>
                <w:color w:val="auto"/>
              </w:rPr>
            </w:pPr>
            <w:r>
              <w:rPr>
                <w:rFonts w:ascii="Arial" w:cs="Arial" w:eastAsia="Arial" w:hAnsi="Arial"/>
                <w:sz w:val="18"/>
                <w:szCs w:val="18"/>
                <w:color w:val="auto"/>
              </w:rPr>
              <w:t>914,107</w:t>
            </w:r>
            <w:r>
              <w:rPr>
                <w:rFonts w:ascii="Arial" w:cs="Arial" w:eastAsia="Arial" w:hAnsi="Arial"/>
                <w:sz w:val="15"/>
                <w:szCs w:val="15"/>
                <w:color w:val="auto"/>
              </w:rPr>
              <w:t>(5)</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16.1%</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914,107</w:t>
            </w:r>
            <w:r>
              <w:rPr>
                <w:rFonts w:ascii="Arial" w:cs="Arial" w:eastAsia="Arial" w:hAnsi="Arial"/>
                <w:sz w:val="15"/>
                <w:szCs w:val="15"/>
                <w:color w:val="auto"/>
              </w:rPr>
              <w:t>(5)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color w:val="auto"/>
              </w:rPr>
              <w:t>119</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right="60" w:hanging="332"/>
        <w:spacing w:after="0" w:line="227"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conversion of 112,162 shares of preferred stock held by the Krishnan Family Trust as of the closing of this offering. Mr. and Ms. Krishnan are each joint beneficial owners of the trust with point voting and investment control of the entity, and accordingly, the total number of shares held by the trust are divided equally between Mr. and Ms. Krishnan for purposes of this disclosure.</w:t>
      </w:r>
    </w:p>
    <w:p>
      <w:pPr>
        <w:ind w:left="340" w:right="36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conversion of 124,456 shares of preferred stock, held by an investment entity owned and controlled by Mr. Janney, into 124,456 shares of common stock as of the closing of this offering.</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conversion of 123,691 shares of preferred stock, into 123,691 shares of common stock immediately prior to the closing of this offering.</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Ganorkar is a member of our board of directors. The table reflects ownership by Sun Pharma (Netherlands) B.V., of 914,107 shares of preferred stock, which convert into 914,107 shares of common stock as of the closing of this offering. Sun Pharma (Netherlands) B.V. is a wholly-owned subsidiary of Sun Pharmaceuticals Industries Ltd., a public company listed on the National Stock Exchange of India and Bombay Stock Exchange. Mr. Garnorkar disclaims all beneficial ownership of these shares, and all shares indicated as owned by Mr. Ganorkar are included because of his affiliation with Sun Pharmaceuticals Industries Ltd., of which he is an employee. The address of Sun Pharma (Netherlands) B.V. is Sun House, 201-B/1, Western Express Highway, Goregaon East, Mumbai - 400063, India.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conversion of 914,107 shares of preferred stock into 914,107 shares of common stock immediately prior to the closing of this offering.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Upon the completion of this offering and the filing of our second amended and restated certificate of incorporation, our authorized capital stock will consist of 80,000,000 shares of common stock, $0.00001 par value per share. The following description summarizes the most important terms of our capital stock. Because it is only a summary, it does not contain all the information that may be important to you. For a complete description, you should refer to our second amended and restated certificate of incorporation and amended and restated bylaws, which are included as exhibits to the registration statement of which this prospectus forms a part.</w:t>
      </w:r>
    </w:p>
    <w:p>
      <w:pPr>
        <w:spacing w:after="0" w:line="8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Pursuant to the provisions of our second amended and restated certificate of incorporation and the terms of the preferred stock and note purchase agreements, as amended, all of our outstanding preferred stock and convertible promissory notes convertible into common stock will automatically convert into common stock effective immediately prior to the completion of this offering. Reflecting the 130,590 shares of common stock issued to an entity owned and controlled by Daniel S. Janney, a member of our board of directors, in August 2017, and assuming the conversion of all our outstanding shares of our preferred stock into 2,061,773 shares of common stock, including 179,613 shares of Series Seed preferred stock, 968,053 shares of preferred stock we issued in August 2017 upon conversion of our outstanding convertible promissory notes and accrued interest thereon, and including 914,107 shares of Series A Preferred issued to Sun Pharma in August 2017, there were 5,683,247 shares of our common stock issued and outstanding, held by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18 stockholders of record, and no shares of our preferred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second restated certificate of incorporation. Accordingly, holders of a majority of the shares of our common stock will be able to elect all of our directors. Our second restated certificate of incorporation will establish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at that time, subject to prior satisfaction of all outstanding debt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As of August 8, 2017, we had three series of preferred stock outstanding (Series Seed, Series A-1 Preferred and Series A-2 Preferred). Pursuant to the provisions of our second amended and restated certificate of incorporation which will become effective in connection with the completion of this offering,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each currently outstanding share of preferred stock will automatically be converted into one share of common stock effective immediately prior to the completion of this offering. Following this offering, no shares of preferred stock will be outstanding.</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our second amended and restated certificate of incorporation that will become effective in connection with the completion of this offering, our board of directors will be authorized, subject to limitations prescribed by Delaware law, to issue from time to time up to 20,000,000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June 30, 2017, we had outstanding options to purchase an aggregate of 159,633 shares of our common stock, with a weighted-average exercise price of $3.21 per share. Subsequent to June 30, 2017 and before August 15, 2017, we issued options to purchase an aggregate of 18,949 shares of our common stock, with an exercise price of $7.66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Notes</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of June 30, 2017 we had outstanding 16 convertible promissory notes in an aggregate principal amount of approximately $4.1 million, each due May 2018 at an interest rate of 6% per annum. In accordance with their terms, as amended in July 2017, the principal and accrued interest under these notes were converted into 844,362 shares of preferred stock at $4.14 per share upon our closing of the sale of $7 million of preferred stock to Sun Pharma on August 8, 2017. These preferred shares will convert into common stock on a share for share basis upon closing of this offering.</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issued a note for $750,000 in June 2017, due in May 2018 and bearing interest at 6% per annum. In accordance with its terms, as amended in July 2017, the principal and accrued interest under this note was converted into 123,691 shares of preferred stock at $6.13 per share upon our closing of the sale of $7 million of preferred stock to Sun Pharma on August 8, 2017. These preferred shares will convert into common stock on a share for share basis upon closing of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After the completion of this offering, the holders of 2,061,773 shares of our common stock will be entitled to certain demand registration rights. At any time, the holders of more than 50% of these shares can, on not more than one occasion, request that we register all or a portion of their shares. Such request for registration must cover that number of shares with an anticipated aggregate offering price of at least $5 million. Additionally, we will not be required to effect a demand registration during the period beginning 90 days prior to our good faith estimate of the date of filing and 180 days following the effectiveness of a company-initiated registration statement relating to a public offering of our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completion of this offering, in the event that we propose to register any of our securities under the Securities Act, either for our own account or for the account of other security holders, the holders of approximately 5,683,247 shares of our common stock, including shares of our common stock issuable pursuant to options, will be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a registration related to employee benefit plans, debt securities or corporate reorganizations,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Form </w:t>
      </w:r>
      <w:r>
        <w:rPr>
          <w:rFonts w:ascii="Arial" w:cs="Arial" w:eastAsia="Arial" w:hAnsi="Arial"/>
          <w:sz w:val="18"/>
          <w:szCs w:val="18"/>
          <w:i w:val="1"/>
          <w:iCs w:val="1"/>
          <w:color w:val="auto"/>
        </w:rPr>
        <w:t>S-3</w:t>
      </w:r>
      <w:r>
        <w:rPr>
          <w:rFonts w:ascii="Arial" w:cs="Arial" w:eastAsia="Arial" w:hAnsi="Arial"/>
          <w:sz w:val="18"/>
          <w:szCs w:val="18"/>
          <w:b w:val="1"/>
          <w:bCs w:val="1"/>
          <w:i w:val="1"/>
          <w:iCs w:val="1"/>
          <w:color w:val="auto"/>
        </w:rPr>
        <w:t xml:space="preserve"> Registration Rights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After the completion of this offering, the holders of approximately 2,061,773 shares of our common stock will be entitled to certain Form S-3 registration rights. The holders of these shares can make a written request that we register their shares of common stock on Form S-3 if we are eligible to file a registration statement on Form S-3 and if the aggregate price to the public of the shares offered is at least $2 million. These holders may make an unlimited number of requests for registration on Form S-3. However, we will not be required to effect a registration on Form S-3 if we have previously effected two such registrations in the 12-month period preceding the request for registration.</w:t>
      </w:r>
    </w:p>
    <w:p>
      <w:pPr>
        <w:spacing w:after="0" w:line="8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registrations described above. In an underwritten offering, the managing underwriter, if any, has the right, subject to specified conditions, to limit the number of shares such holders may include.</w:t>
      </w:r>
    </w:p>
    <w:p>
      <w:pPr>
        <w:spacing w:after="0" w:line="73"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The demand, piggyback and Form S-3 registration rights described above will expire upon the earlier of (i) five years after the completion of this offering, (ii) with respect to any particular stockholder, the date on which such stockholder can sell all of its shares under Rule 144 of the Securities Act during any 90 day period, or (iii) the time at which such stockholder holds registrable securities constituting less than 1% of our outstanding voting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provisions of Delaware law, our second restated certificate of incorporation and our restated bylaws, as we expect they will be in effect immediately prior to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or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00" w:hanging="206"/>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206"/>
        <w:spacing w:after="0" w:line="30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59" w:lineRule="exact"/>
        <w:rPr>
          <w:rFonts w:ascii="Arial" w:cs="Arial" w:eastAsia="Arial" w:hAnsi="Arial"/>
          <w:sz w:val="16"/>
          <w:szCs w:val="16"/>
          <w:color w:val="auto"/>
        </w:rPr>
      </w:pPr>
    </w:p>
    <w:p>
      <w:pPr>
        <w:jc w:val="both"/>
        <w:ind w:left="660" w:right="60" w:hanging="20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7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Certificate of Incorporation and Amended and Restated Bylaws Provisions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second amended and restated certificate of incorporation and our amended and restated bylaws, as we expect they will be in effect immediately prior to the completion of this offering, include a number of provisions that could deter hostile takeovers or delay or prevent changes in control of our company, including the following:</w:t>
      </w:r>
    </w:p>
    <w:p>
      <w:pPr>
        <w:spacing w:after="0" w:line="87" w:lineRule="exact"/>
        <w:rPr>
          <w:sz w:val="20"/>
          <w:szCs w:val="20"/>
          <w:color w:val="auto"/>
        </w:rPr>
      </w:pPr>
    </w:p>
    <w:p>
      <w:pPr>
        <w:ind w:left="660" w:right="100" w:hanging="206"/>
        <w:spacing w:after="0" w:line="297"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second amended and restated certificate of incorporation and amended and restated bylaws will authorize only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3" w:lineRule="exact"/>
        <w:rPr>
          <w:rFonts w:ascii="Arial" w:cs="Arial" w:eastAsia="Arial" w:hAnsi="Arial"/>
          <w:sz w:val="16"/>
          <w:szCs w:val="16"/>
          <w:color w:val="auto"/>
        </w:rPr>
      </w:pPr>
    </w:p>
    <w:p>
      <w:pPr>
        <w:ind w:left="660" w:right="280" w:hanging="206"/>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second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be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of Directors.”</w:t>
      </w:r>
    </w:p>
    <w:p>
      <w:pPr>
        <w:spacing w:after="0" w:line="92"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second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amended and restated bylaws and second amended and restated certificate of incorporation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5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ind w:left="660" w:right="360" w:hanging="206"/>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second amended and restated certificate of incorporation will not provide for cumulative voting.</w:t>
      </w:r>
    </w:p>
    <w:p>
      <w:pPr>
        <w:spacing w:after="0" w:line="86" w:lineRule="exact"/>
        <w:rPr>
          <w:rFonts w:ascii="Arial" w:cs="Arial" w:eastAsia="Arial" w:hAnsi="Arial"/>
          <w:sz w:val="18"/>
          <w:szCs w:val="18"/>
          <w:color w:val="auto"/>
        </w:rPr>
      </w:pPr>
    </w:p>
    <w:p>
      <w:pPr>
        <w:ind w:left="660" w:right="460" w:hanging="206"/>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Directors Removed Only for Cause. </w:t>
      </w:r>
      <w:r>
        <w:rPr>
          <w:rFonts w:ascii="Arial" w:cs="Arial" w:eastAsia="Arial" w:hAnsi="Arial"/>
          <w:sz w:val="17"/>
          <w:szCs w:val="17"/>
          <w:color w:val="auto"/>
        </w:rPr>
        <w:t>Our second amended and restated certificate of incorporation will provide that stockholders may remove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only for cause and only by the affirmative vote of the holders of at least two-thirds of our outstanding common stock.</w:t>
      </w:r>
    </w:p>
    <w:p>
      <w:pPr>
        <w:spacing w:after="0" w:line="51" w:lineRule="exact"/>
        <w:rPr>
          <w:rFonts w:ascii="Arial" w:cs="Arial" w:eastAsia="Arial" w:hAnsi="Arial"/>
          <w:sz w:val="17"/>
          <w:szCs w:val="17"/>
          <w:color w:val="auto"/>
        </w:rPr>
      </w:pPr>
    </w:p>
    <w:p>
      <w:pPr>
        <w:ind w:left="660" w:right="880" w:hanging="206"/>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second amended and restated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would require approval by holders of at least two-thirds of our outstanding common stock.</w:t>
      </w:r>
    </w:p>
    <w:p>
      <w:pPr>
        <w:spacing w:after="0" w:line="75" w:lineRule="exact"/>
        <w:rPr>
          <w:rFonts w:ascii="Arial" w:cs="Arial" w:eastAsia="Arial" w:hAnsi="Arial"/>
          <w:sz w:val="18"/>
          <w:szCs w:val="18"/>
          <w:color w:val="auto"/>
        </w:rPr>
      </w:pPr>
    </w:p>
    <w:p>
      <w:pPr>
        <w:ind w:left="660" w:right="60" w:hanging="206"/>
        <w:spacing w:after="0" w:line="279"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20,000,000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6" w:lineRule="exact"/>
        <w:rPr>
          <w:rFonts w:ascii="Arial" w:cs="Arial" w:eastAsia="Arial" w:hAnsi="Arial"/>
          <w:sz w:val="17"/>
          <w:szCs w:val="17"/>
          <w:color w:val="auto"/>
        </w:rPr>
      </w:pPr>
    </w:p>
    <w:p>
      <w:pPr>
        <w:ind w:left="660" w:hanging="206"/>
        <w:spacing w:after="0" w:line="291"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second amended and restated certificate of incorporation will provide that the Court of Chancery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the exclusive forum for: any derivative action or proceeding brought on our behalf; any action asserting a breach of fiduciary duty; any action asserting a claim against us arising pursuant to the Delaware General Corporation Law, our second amended and restated certificate of incorporation or our amended and restated bylaws; any action to interpret, apply, enforce or determine the validity of our second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The transfer agent’s address is 250 Royall Street Canton, Massachusetts 02021, and its telephone number is 1-800-962-4284. Our shares of common stock will be issued in uncertificated form only, subject to limited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this offering, there has not been a public market for shares of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completion of this offering, assuming no exercise of the underwriters’ option to purchase additional shares, we will have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8,683,247 shares of our common stock outstanding, assuming and reflecting: (i) 130,590 shares of common stock issued to an entity owned and controlled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Daniel S. Janney, a member of our board of directors, in August 2017; (ii) the automatic conversion of shares of our preferred stock outstanding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into 2,061,773 shares of our common stock effective immediately prior to the completion of this offering; (iii) the sale and issuance of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 this offering at an initial public offering price of $10.00 per share; (iv) a a 1-to-4.5 forward stock split, in the form of a dividend, which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prior to the effectiveness of this registration statement; and (v) no outstanding options are exercised. Of these outstanding shares, all of the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sold in this offering will be freely tradable, except that any shares purchased in this offering by our affiliates, as that term is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Rule 144 under the Securities Act, would only be able to be sold in compliance with the Rule 144 limitations described below.</w:t>
      </w:r>
    </w:p>
    <w:p>
      <w:pPr>
        <w:spacing w:after="0" w:line="10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all of our security holders have entered into lock-up agreements with the underwriters under which they have agreed, subject to specific exceptions, not to sell any of our stock for at least 180 days following the date of this prospectus, as described below. As a result of these agreements, subject to the provisions of Rule 144 or Rule 701, shares will be available for sale in the public market as follows:</w:t>
      </w:r>
    </w:p>
    <w:p>
      <w:pPr>
        <w:spacing w:after="0" w:line="99" w:lineRule="exact"/>
        <w:rPr>
          <w:sz w:val="20"/>
          <w:szCs w:val="20"/>
          <w:color w:val="auto"/>
        </w:rPr>
      </w:pPr>
    </w:p>
    <w:p>
      <w:pPr>
        <w:ind w:left="660" w:right="160" w:hanging="206"/>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(except as described above); and</w:t>
      </w:r>
    </w:p>
    <w:p>
      <w:pPr>
        <w:spacing w:after="0" w:line="75" w:lineRule="exact"/>
        <w:rPr>
          <w:rFonts w:ascii="Arial" w:cs="Arial" w:eastAsia="Arial" w:hAnsi="Arial"/>
          <w:sz w:val="18"/>
          <w:szCs w:val="18"/>
          <w:color w:val="auto"/>
        </w:rPr>
      </w:pPr>
    </w:p>
    <w:p>
      <w:pPr>
        <w:ind w:left="660" w:right="640" w:hanging="206"/>
        <w:spacing w:after="0" w:line="34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5,683,247 additional shares will become eligible for sale in the public market, of which 5,075,504 shares will be held by affiliates and subject to the volume and other restrictions of Rule 144 and Rule 701 as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of our directors, executive officers and our security holders are subject to lock-up agreements that, subject to certain exceptions, prohibit them from directly or indirectly offering, pledging, selling, contracting to sell, selling any option or contract to purchase, purchasing any option or contract to purchase, granting any option, right or warrant to purchase or otherwise transferring or disposing of any shares of our common stock, options to acquire shares of our common stock or any securities convertible into or exercisable or exchangeable for common stock, whether now owned or hereafter acquired, or entering into any swap or any other agreement or any transaction that transfer, in whole or in part, directly or indirectly, the economic consequence of ownership, for a period of 180 days following the date of this prospectus, without the prior written consent of Ladenburg Thalmann &amp; Co. Inc. These agreements are described in the section entitled “Underwriting.”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64"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52" w:lineRule="exact"/>
        <w:rPr>
          <w:sz w:val="20"/>
          <w:szCs w:val="20"/>
          <w:color w:val="auto"/>
        </w:rPr>
      </w:pPr>
    </w:p>
    <w:p>
      <w:pPr>
        <w:ind w:left="660" w:hanging="206"/>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or</w:t>
      </w:r>
    </w:p>
    <w:p>
      <w:pPr>
        <w:spacing w:after="0" w:line="142" w:lineRule="exact"/>
        <w:rPr>
          <w:rFonts w:ascii="Arial" w:cs="Arial" w:eastAsia="Arial" w:hAnsi="Arial"/>
          <w:sz w:val="17"/>
          <w:szCs w:val="17"/>
          <w:color w:val="auto"/>
        </w:rPr>
      </w:pPr>
    </w:p>
    <w:p>
      <w:pPr>
        <w:ind w:left="660" w:right="20" w:hanging="206"/>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and are subject to the lock-up agreements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Options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options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agreements to which they are subject.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following is a summary of the material U.S. federal income tax consequences applicable to non-U.S. holders (as defined below) with respect to the acquisition, ownership and disposition of shares of our common stock, but does not purport to be a complete analysis of all potential tax considerations related thereto. This summary is based on current provisions of the Internal Revenue Code of 1986, as amended, or the Code, final, temporary or proposed Treasury regulations promulgated thereunder, administrative rulings and judicial opinions, all of which are subject to change, possibly with retroactive effect. We have not sought any ruling from the U.S. Internal Revenue Service, or the IRS, with respect to the statements made and the conclusions reached in the following summary, and there can be no assurance that the IRS will agree with such statements and conclusions.</w:t>
      </w:r>
    </w:p>
    <w:p>
      <w:pPr>
        <w:spacing w:after="0" w:line="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summary is limited to non-U.S. holders who purchase shares of our common stock issued pursuant to this offering and who hold such shares of our common stock as capital assets (within the meaning of Section 1221 of the Code).</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discussion does not address all aspects of U.S. federal income taxation that may be important to a particular non-U.S. holder in light of that non-U.S. holder’s individual circumstances, nor does it address the potential application of the Medicare contribution tax, any aspects of U.S. federal estate or gift tax laws, or tax considerations arising under the laws of any non-U.S., state or local jurisdiction. This discussion also does not address tax considerations applicable to a non-U.S. holder subject to special treatment under the U.S. federal income tax laws, including without limitation:</w:t>
      </w:r>
    </w:p>
    <w:p>
      <w:pPr>
        <w:spacing w:after="0" w:line="77"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partnerships or other pass-through entities;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holdings;</w:t>
      </w:r>
    </w:p>
    <w:p>
      <w:pPr>
        <w:spacing w:after="0" w:line="116"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shares of our common stock, the tax treatment of a partner in the partnership (or member in such other entity) will generally depend upon the status of the partner and the activities of the partnership. Any partner in a partnership holding shares of our common stock (and such partnership) should consult their own tax advisors.</w:t>
      </w:r>
    </w:p>
    <w:p>
      <w:pPr>
        <w:spacing w:after="0" w:line="53"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PROSPECTIVE INVESTORS ARE URGED TO CONSULT THEIR TAX ADVISORS WITH RESPECT TO THE APPLICATION OF THE U.S. FEDERAL INCOME TAX LAWS TO THEIR PARTICULAR SITUATIONS AS WELL AS ANY TAX CONSEQUENCES OF THE PURCHASE, OWNERSHIP AND DISPOSITION OF SHARES OF OUR COMMON STOCK ARISING UNDER THE U.S. FEDERAL ESTATE OR GIFT TAX RULES OR UNDER THE LAWS OF ANY STATE, LOCAL, NON-U.S. OR OTHER TAXING JURISDICTION OR UNDER ANY APPLICABLE TAX TREATY.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this summary, a “non-U.S. holder” is any beneficial owner of shares of our common stock (other than a partnership or other entity treated as a partnership for U.S. federal income tax purposes) that is not a U.S. person. A “U.S. person” is any of the following:</w:t>
      </w:r>
    </w:p>
    <w:p>
      <w:pPr>
        <w:spacing w:after="0" w:line="52"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Columbia(or entity treated as such for U.S. federal income tax purposes);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Treasury regulations to be treated as a U.S.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described in the section titled “Dividend Policy,” we currently do not anticipate paying dividends on our common stock in the foreseeable future. If, however, we make cash or other property distributions on our common stock (other than certain pro rata distributions of shares of our common stock), such distributions will constitute dividends for U.S. federal income tax purposes to the extent paid from our current earnings and profits for that taxable year or accumulated earnings and profits, as determined under U.S. federal income tax principles. Amounts not treated as dividends for U.S. federal income tax purposes will constitute a return of capital and will first be applied against and reduce a holder’s adjusted tax basis in the shares of our common stock, but not below zero. Any excess will be treated as gain realized on the sale or other disposition of shares of our common stock and will be treated as described under the section titled “—Gain on Sale or Other Disposition of Shares of Our Common Stock” below.</w:t>
      </w:r>
    </w:p>
    <w:p>
      <w:pPr>
        <w:spacing w:after="0" w:line="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paying agent a valid IRS Form W-8BEN or W-8BEN-E (or applicable successor form) certifying, under penalties of perjury, such holder’s qualification for the reduced rate. This certification must be provided to us or our paying agent prior to the payment of dividends and must be updated periodically.</w:t>
      </w:r>
    </w:p>
    <w:p>
      <w:pPr>
        <w:spacing w:after="0" w:line="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 non-U.S. holder holds shares of our common stock in connection with the conduct of a trade or business in the United States, and dividends paid on shares of our common stock are effectively connected with such holder’s U.S. trade or business (and, if required by an applicable income tax treaty, are attributable to a permanent establishment maintained by the non-U.S. holder in the United States), the non-U.S. holder will be exempt from the aforementioned U.S. federal withholding tax. To claim the exemption, the non-U.S. holder must furnish to us or our paying agent a properly executed IRS Form W-8ECI (or applicable successor form).</w:t>
      </w:r>
    </w:p>
    <w:p>
      <w:pPr>
        <w:spacing w:after="0" w:line="8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Such effectively connected dividends generally will be subject to U.S. federal income tax on a net income basis at the regular graduated U.S. federal income tax rates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4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non-U.S. holder that claims exemption from withholding or the benefit of an applicable income tax treaty generally will be required to satisfy applicable certification and other requirements prior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distribution date. Non-U.S. holders that do not timely provide us or our paying agent with the required certification, may obtain a refund of any excess amounts withheld by timely filing an appropriate claim for refund with the IRS. Non-U.S. holders should consult their tax advisors regarding their entitlement to benefits under a relevant income tax treaty or applicability of other exemptions from withholding.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Shares of Our Common Stock</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 non-U.S. holder generally will not be subject to U.S. federal income tax on any gain realized upon the sale or other disposition of shares of our common stock unless:</w:t>
      </w:r>
    </w:p>
    <w:p>
      <w:pPr>
        <w:spacing w:after="0" w:line="76" w:lineRule="exact"/>
        <w:rPr>
          <w:sz w:val="20"/>
          <w:szCs w:val="20"/>
          <w:color w:val="auto"/>
        </w:rPr>
      </w:pPr>
    </w:p>
    <w:p>
      <w:pPr>
        <w:ind w:left="660" w:right="380" w:hanging="206"/>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in the United States and, if required by an applicable income tax treaty, the gain is attributable to a permanent establishment of the non-U.S. holder maintained in the United States;</w:t>
      </w:r>
    </w:p>
    <w:p>
      <w:pPr>
        <w:spacing w:after="0" w:line="51" w:lineRule="exact"/>
        <w:rPr>
          <w:rFonts w:ascii="Arial" w:cs="Arial" w:eastAsia="Arial" w:hAnsi="Arial"/>
          <w:sz w:val="17"/>
          <w:szCs w:val="17"/>
          <w:color w:val="auto"/>
        </w:rPr>
      </w:pPr>
    </w:p>
    <w:p>
      <w:pPr>
        <w:ind w:left="660" w:right="940" w:hanging="206"/>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requirements are met; or</w:t>
      </w:r>
    </w:p>
    <w:p>
      <w:pPr>
        <w:spacing w:after="0" w:line="75" w:lineRule="exact"/>
        <w:rPr>
          <w:rFonts w:ascii="Arial" w:cs="Arial" w:eastAsia="Arial" w:hAnsi="Arial"/>
          <w:sz w:val="18"/>
          <w:szCs w:val="18"/>
          <w:color w:val="auto"/>
        </w:rPr>
      </w:pPr>
    </w:p>
    <w:p>
      <w:pPr>
        <w:jc w:val="both"/>
        <w:ind w:left="660" w:right="160" w:hanging="206"/>
        <w:spacing w:after="0" w:line="288"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or a USRPHC, for U.S. federal income tax purposes at any time within the shorter of the five-year period preceding the disposition and the non-U.S. holder’s holding period for the shares of our common stock, and our common stock has ceased to be traded on an established securities market prior to the beginning of the calendar year in which the sale or other disposition occurs.</w:t>
      </w:r>
    </w:p>
    <w:p>
      <w:pPr>
        <w:ind w:left="660" w:right="40"/>
        <w:spacing w:after="0" w:line="261" w:lineRule="auto"/>
        <w:rPr>
          <w:rFonts w:ascii="Arial" w:cs="Arial" w:eastAsia="Arial" w:hAnsi="Arial"/>
          <w:sz w:val="16"/>
          <w:szCs w:val="16"/>
          <w:color w:val="auto"/>
        </w:rPr>
      </w:pPr>
      <w:r>
        <w:rPr>
          <w:rFonts w:ascii="Arial" w:cs="Arial" w:eastAsia="Arial" w:hAnsi="Arial"/>
          <w:sz w:val="18"/>
          <w:szCs w:val="18"/>
          <w:color w:val="auto"/>
        </w:rPr>
        <w:t>The determination of whether we are a USRPHC depends on the fair market value of our U.S. real property interests relative to the fair market value of our other trade or business assets and our foreign real property interests.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currently are not, and we do not anticipate becoming, a USRPHC for U.S. federal income tax purposes.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Gain described in the first bullet point above will be subject to U.S. federal income tax on a net income basis at regular graduated U.S. federal income tax rates generally in the same manner as if such holder were a resident of the United States. A non-U.S. holder that is a non-U.S. corporation also may be subject to an additional branch profits tax equal to 30% (or such lower rate specified by an applicable income tax treaty) of a portion of its effectively connected earnings and profits for the taxable year. Non-U.S. holders should consult any applicable income tax treaties that may provide for different rules.</w:t>
      </w:r>
    </w:p>
    <w:p>
      <w:pPr>
        <w:spacing w:after="0" w:line="4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U.S. source capital losses (even though the individual is not considered a resident of the United States), provided that the non-U.S. holder has timely filed U.S. federal income tax returns with respect to such losses. Non-U.S. holders should consult any applicable income tax treaties that may provide for different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Generally, we must report annually to the IRS and to each non-U.S. holder the amount of dividends paid to, and the tax withheld with respect to, each non-U.S. holder. This information also may be made available under a specific treaty or agreement with the tax authorities in the country in which the non-U.S. holder resides or is established. Backup withholding, currently at a 28% rate, generally will not apply to distributions to a non-U.S. holder of shares of our common stock provided the non-U.S. holder furnishes to us or our paying agent the required certification as to its non-U.S. status, such as by providing a valid IRS Form W-8BEN, IRS Form W-8BEN-E, or IRS Form W-8ECI, or certain other requirements are met. Notwithstanding the foregoing, backup withholding may apply if either we or our paying agent has actual knowledge, or reason to know, that the holder is a U.S. person that is not an exempt recipient.</w:t>
      </w:r>
    </w:p>
    <w:p>
      <w:pPr>
        <w:spacing w:after="0" w:line="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Legislation and administrative guidance, commonly referred to as “FATCA”, may impose a 30% withholding tax on any dividends paid after July 1, 2014 and the proceeds of a sale of our common stock paid after December 31, 2018 to a “foreign financial institution”, as specially defined under such rules, and certain other foreign entities, unless various information reporting and due diligence requirements (generally relating to ownership by U.S. persons of interests in, or accounts with, those entities) have been met or an exemption applies.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FATCA.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00"/>
          </w:cols>
          <w:pgMar w:left="240" w:top="459" w:right="3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3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6300" w:type="dxa"/>
            <w:vAlign w:val="bottom"/>
          </w:tcPr>
          <w:p>
            <w:pPr>
              <w:ind w:left="280"/>
              <w:spacing w:after="0"/>
              <w:rPr>
                <w:sz w:val="20"/>
                <w:szCs w:val="20"/>
                <w:color w:val="auto"/>
              </w:rPr>
            </w:pPr>
            <w:r>
              <w:rPr>
                <w:rFonts w:ascii="Arial" w:cs="Arial" w:eastAsia="Arial" w:hAnsi="Arial"/>
                <w:sz w:val="18"/>
                <w:szCs w:val="18"/>
                <w:b w:val="1"/>
                <w:bCs w:val="1"/>
                <w:color w:val="auto"/>
              </w:rPr>
              <w:t>UNDERWRITING</w:t>
            </w:r>
          </w:p>
        </w:tc>
      </w:tr>
      <w:tr>
        <w:trPr>
          <w:trHeight w:val="324"/>
        </w:trPr>
        <w:tc>
          <w:tcPr>
            <w:tcW w:w="4700" w:type="dxa"/>
            <w:vAlign w:val="bottom"/>
            <w:gridSpan w:val="2"/>
          </w:tcPr>
          <w:p>
            <w:pPr>
              <w:ind w:left="460"/>
              <w:spacing w:after="0"/>
              <w:rPr>
                <w:sz w:val="20"/>
                <w:szCs w:val="20"/>
                <w:color w:val="auto"/>
              </w:rPr>
            </w:pPr>
            <w:r>
              <w:rPr>
                <w:rFonts w:ascii="Arial" w:cs="Arial" w:eastAsia="Arial" w:hAnsi="Arial"/>
                <w:sz w:val="18"/>
                <w:szCs w:val="18"/>
                <w:color w:val="auto"/>
                <w:w w:val="95"/>
              </w:rPr>
              <w:t>We have entered into an underwriting agreement dated</w:t>
            </w:r>
          </w:p>
        </w:tc>
        <w:tc>
          <w:tcPr>
            <w:tcW w:w="6300" w:type="dxa"/>
            <w:vAlign w:val="bottom"/>
          </w:tcPr>
          <w:p>
            <w:pPr>
              <w:ind w:left="280"/>
              <w:spacing w:after="0"/>
              <w:rPr>
                <w:sz w:val="20"/>
                <w:szCs w:val="20"/>
                <w:color w:val="auto"/>
              </w:rPr>
            </w:pPr>
            <w:r>
              <w:rPr>
                <w:rFonts w:ascii="Arial" w:cs="Arial" w:eastAsia="Arial" w:hAnsi="Arial"/>
                <w:sz w:val="18"/>
                <w:szCs w:val="18"/>
                <w:color w:val="auto"/>
                <w:w w:val="90"/>
              </w:rPr>
              <w:t>, 2017, with Ladenburg Thalmann &amp; Co. Inc., as the underwriter and the sole book-</w:t>
            </w:r>
          </w:p>
        </w:tc>
      </w:tr>
    </w:tbl>
    <w:p>
      <w:pPr>
        <w:ind w:right="2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running manager of this offering. Subject to the terms and conditions of the underwriting agreement, the underwriter has agreed to purchase the number of our securities set forth opposite its name below.</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3280" w:type="dxa"/>
            <w:vAlign w:val="bottom"/>
            <w:gridSpan w:val="3"/>
          </w:tcPr>
          <w:p>
            <w:pPr>
              <w:ind w:left="2140"/>
              <w:spacing w:after="0"/>
              <w:rPr>
                <w:sz w:val="20"/>
                <w:szCs w:val="20"/>
                <w:color w:val="auto"/>
              </w:rPr>
            </w:pPr>
            <w:r>
              <w:rPr>
                <w:rFonts w:ascii="Arial" w:cs="Arial" w:eastAsia="Arial" w:hAnsi="Arial"/>
                <w:sz w:val="14"/>
                <w:szCs w:val="14"/>
                <w:b w:val="1"/>
                <w:bCs w:val="1"/>
                <w:color w:val="auto"/>
                <w:w w:val="94"/>
              </w:rPr>
              <w:t>Number of shares</w:t>
            </w:r>
          </w:p>
        </w:tc>
      </w:tr>
      <w:tr>
        <w:trPr>
          <w:trHeight w:val="196"/>
        </w:trPr>
        <w:tc>
          <w:tcPr>
            <w:tcW w:w="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Ladenburg</w:t>
            </w:r>
          </w:p>
        </w:tc>
        <w:tc>
          <w:tcPr>
            <w:tcW w:w="372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Thalmann &amp; Co. Inc.</w:t>
            </w:r>
          </w:p>
        </w:tc>
        <w:tc>
          <w:tcPr>
            <w:tcW w:w="2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been advised by the underwriter that it proposes to offer the shares directly to the public at the public offering price set forth on the cover page of this prospectus. Any shares sold by the underwriter to securities dealers will be sold at the public offering price less a selling concession not in excess of</w:t>
      </w:r>
    </w:p>
    <w:p>
      <w:pPr>
        <w:ind w:right="220" w:firstLine="540"/>
        <w:spacing w:after="0" w:line="261" w:lineRule="auto"/>
        <w:rPr>
          <w:sz w:val="20"/>
          <w:szCs w:val="20"/>
          <w:color w:val="auto"/>
        </w:rPr>
      </w:pPr>
      <w:r>
        <w:rPr>
          <w:rFonts w:ascii="Arial" w:cs="Arial" w:eastAsia="Arial" w:hAnsi="Arial"/>
          <w:sz w:val="18"/>
          <w:szCs w:val="18"/>
          <w:color w:val="auto"/>
        </w:rPr>
        <w:t>per share. The underwriter may allow, and these selected dealers may re-allow, a concession of not more than per share to other brokers and dealers.</w:t>
      </w:r>
    </w:p>
    <w:p>
      <w:pPr>
        <w:spacing w:after="0" w:line="7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the shares we are offering is subject to the terms and conditions described therein.</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No action has been taken by us or the underwriter that would permit a public offering of the shares in any jurisdiction where action for that purpose is required. None of our shares included in this offering may be offered or sold, directly or indirectly, nor may this prospectus or any other offering material or advertisements in connection with the offer and sales of any of the shares offered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shares and the distribution of this prospectus. This prospectus is neither an offer to sell nor a solicitation of any offer to buy the shares in any jurisdiction where that would not be permitted or legal.</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advised us that they do not intend to confirm sales to any accounts over which they exercise discretionary authority.</w:t>
      </w:r>
    </w:p>
    <w:p>
      <w:pPr>
        <w:spacing w:after="0" w:line="117"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Certain of our existing stockholders and members of management, including Krish S. Krishnan, our President and Chief Executive Officer, have indicated an interest in purchasing up to an aggregate of $5.0 million of shares of our common stock in this offering at the public offering price. However, because indications of interest are not binding agreements or commitments to purchase, the underwriters may determine to sell more, fewer, or no shares in this offering to these persons or entities, or these persons or entities may determine to purchase more, fewer, or no shares of common stock in this offering. The underwriters will receive the same underwriting discounts and commissions on any shares of common stock purchased by these persons or entities as they will on any other shares of common stock sold to the public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ind w:left="460"/>
        <w:spacing w:after="0"/>
        <w:tabs>
          <w:tab w:leader="none" w:pos="9920" w:val="left"/>
        </w:tabs>
        <w:rPr>
          <w:sz w:val="20"/>
          <w:szCs w:val="20"/>
          <w:color w:val="auto"/>
        </w:rPr>
      </w:pPr>
      <w:r>
        <w:rPr>
          <w:rFonts w:ascii="Arial" w:cs="Arial" w:eastAsia="Arial" w:hAnsi="Arial"/>
          <w:sz w:val="18"/>
          <w:szCs w:val="18"/>
          <w:color w:val="auto"/>
        </w:rPr>
        <w:t>We have granted to the underwriter an option, exercisable for 30 days from the date of this prospectus, to purchase up to</w:t>
      </w:r>
      <w:r>
        <w:rPr>
          <w:sz w:val="20"/>
          <w:szCs w:val="20"/>
          <w:color w:val="auto"/>
        </w:rPr>
        <w:tab/>
      </w:r>
      <w:r>
        <w:rPr>
          <w:rFonts w:ascii="Arial" w:cs="Arial" w:eastAsia="Arial" w:hAnsi="Arial"/>
          <w:sz w:val="15"/>
          <w:szCs w:val="15"/>
          <w:color w:val="auto"/>
        </w:rPr>
        <w:t>additional shares</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from us at the public offering price set forth on the cover page of this prospectus, less the underwriting discount and commission. The underwriter may exercise this option solely for the purpose of covering over-allotments, if any, made in connection with the offering of the shares offered by this prospectus.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46"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 and Expenses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commission, and proceeds before expenses to us. The information assumes either no exercise or full exercise of the option we granted to the underwriter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88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Per share</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w w:val="99"/>
              </w:rPr>
              <w:t>No exercise</w:t>
            </w:r>
          </w:p>
        </w:tc>
        <w:tc>
          <w:tcPr>
            <w:tcW w:w="5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approximately $ . We have agreed to reimburse the underwriter for fees and disbursements related to its legal counsel in an amount not to exceed $50,000 in the aggregate.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the completion of this offering, there has been no public market for our common stock. The initial public offering price will be determined by negotiations between us and the underwriter. Among the factors considered in determining the initial public offering price will be the history and prospects of other companies in the industry in which we compete; our financial information; an assessment of our management and their experience; an assessment of our business potential and earning prospects; the prevailing securities markets at the time of this offering; the recent market prices of, and the demand for, publicly traded shares of generally comparable companies; and other factors deemed relevant. Neither we nor the underwriter can assure investors that an active trading market will develop for our common shares, or that the shares will trade in the public market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all of our officers and directors, and holders of all of our outstanding shares of common stock have agreed, that for a period of 180 days after the date of this prospectus, or the lock-up period, subject to certain limited exceptions described below, we and they will not directly or indirectly, without the prior written consent of the underwriter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 We have also agreed, in the underwriting agreement, to similar lock-up restrictions on the issuance and sale of our securities for 180 days following the closing of this offering, although we will be permitted to issue stock options or stock awards to directors, officers and employees under our existing equity incentive plans. The underwriter may, in its sole discretion and without notice, waive the terms of any of these lock-up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connection with this offering, the underwriter may engage in stabilizing transactions and syndicate covering transactions and purchases to cover positions created by short sales.</w:t>
      </w:r>
    </w:p>
    <w:p>
      <w:pPr>
        <w:spacing w:after="0" w:line="76" w:lineRule="exact"/>
        <w:rPr>
          <w:sz w:val="20"/>
          <w:szCs w:val="20"/>
          <w:color w:val="auto"/>
        </w:rPr>
      </w:pPr>
    </w:p>
    <w:p>
      <w:pPr>
        <w:ind w:left="660" w:right="100" w:hanging="206"/>
        <w:spacing w:after="0" w:line="34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9" w:lineRule="exact"/>
        <w:rPr>
          <w:rFonts w:ascii="Arial" w:cs="Arial" w:eastAsia="Arial" w:hAnsi="Arial"/>
          <w:sz w:val="16"/>
          <w:szCs w:val="16"/>
          <w:color w:val="auto"/>
        </w:rPr>
      </w:pPr>
    </w:p>
    <w:p>
      <w:pPr>
        <w:ind w:left="660" w:right="140" w:hanging="206"/>
        <w:spacing w:after="0" w:line="34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common stock in the open market after the distribution has been completed in order to cover syndicate short positions. Since there is no over-allotment option, if the underwriter would have a naked short position, it can be closed out only by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40"/>
        <w:spacing w:after="0" w:line="308" w:lineRule="auto"/>
        <w:rPr>
          <w:sz w:val="20"/>
          <w:szCs w:val="20"/>
          <w:color w:val="auto"/>
        </w:rPr>
      </w:pPr>
      <w:r>
        <w:rPr>
          <w:rFonts w:ascii="Arial" w:cs="Arial" w:eastAsia="Arial" w:hAnsi="Arial"/>
          <w:sz w:val="17"/>
          <w:szCs w:val="17"/>
          <w:color w:val="auto"/>
        </w:rPr>
        <w:t>buying shares in the open market. A naked short position is more likely to be created if the underwriter is concerned that after pricing there could be downward pressure on the price of the shares in the open market that could adversely affect investors who purchase in the offering.</w:t>
      </w:r>
    </w:p>
    <w:p>
      <w:pPr>
        <w:spacing w:after="0" w:line="3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Penalty bids permit the underwriter to reclaim a selling concession from a syndicate member when the security originally sold by the syndicate member is purchased in a stabilizing or syndicate covering transaction to cover syndicate short positions. 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 makes any representation or prediction as to the effect that the transactions described above may have on the price of our common stock. These transactions may be effected on the NASDAQ Capital Market, in the over-the-counter market or otherwise and, if commenced, may be discontinued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agreed to indemnify the underwriter and selected dealers against certain liabilities, including certain liabilities arising under the Securities Act, or to contribute to payments that the underwriter or selected dealers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Capital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Capital Market under the symbol “KRYS.”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A prospectus in electronic format may be made available on websites maintained by the underwriter, or selling group members, if any, participating in this offering. The underwriter may agree to allocate a number of shares of our common stock for sale to its online brokerage account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may in the future perform various financial advisory, investment banking, and other services for us, for which they may receive customary fees and commissions. In addition, in the ordinary course of their various business activities, the underwriter and its affiliates may effect transactions for their own account or the accounts of customers, and hold on behalf of themselves or their customers long or short positions in our debt or equity securities or loans, and may do so in the future. The underwriter and its affiliates may also make investment recommendations or publish or express independent research views in respect of such securities or instruments and may at any time hold, or recommend to their customers that they acquire, long or short positions in such securities and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exemptions under the Prospectus Directive, if they have been implemented in that Relevant Member State:</w:t>
      </w:r>
    </w:p>
    <w:p>
      <w:pPr>
        <w:spacing w:after="0" w:line="131"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the underwriter of a prospectus pursuant to Article 3 of the Prospectus Directive, or supplement a prospectus pursuant to Article 16 of the Prospectus Directive.</w:t>
      </w:r>
    </w:p>
    <w:p>
      <w:pPr>
        <w:spacing w:after="0" w:line="73"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For the purposes of this provision: (i)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(ii) the expression “Prospectus Directive” means Directive 2003/71/EC (and amendments thereto, including the 2010 PD Amending Directive, to the extent implemented in the Relevant Member State), and includes any relevant implementing measure in the Relevant Member State; and (iii) the expression “2010 PD Amending Directive” means Directive 2010/73/EU.</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represented and agreed that:</w:t>
      </w:r>
    </w:p>
    <w:p>
      <w:pPr>
        <w:spacing w:after="0" w:line="131" w:lineRule="exact"/>
        <w:rPr>
          <w:sz w:val="20"/>
          <w:szCs w:val="20"/>
          <w:color w:val="auto"/>
        </w:rPr>
      </w:pPr>
    </w:p>
    <w:p>
      <w:pPr>
        <w:ind w:left="660" w:right="20" w:hanging="206"/>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52" w:lineRule="exact"/>
        <w:rPr>
          <w:rFonts w:ascii="Arial" w:cs="Arial" w:eastAsia="Arial" w:hAnsi="Arial"/>
          <w:sz w:val="16"/>
          <w:szCs w:val="16"/>
          <w:color w:val="auto"/>
        </w:rPr>
      </w:pPr>
    </w:p>
    <w:p>
      <w:pPr>
        <w:ind w:left="660" w:right="440" w:hanging="20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Morrison &amp; Foerster LLP, San Francisco, California. The underwriters are being represented by Goodwin Procter LLP, New York, New York, in connection with this offering.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financial statements of Krystal Biotech, Inc. as of and for the year ended December 31, 2016 included in this prospectus and in the registration statement have been audited by Mayer Hoffman McCann P.C., independent registered public accounting firm, and are included in reliance on their report given on their authority as experts in accounting and auditing.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6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www.krystalbio.com.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0"/>
            <w:vMerge w:val="restart"/>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6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Balance Sheets as of December 31, 2016 and June 30, 2017 (unaudited) and June 30, 2017 Pro Forma (unaudited)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Statements of Operations for the Year Ended December 31, 2016 and the Six Months Ended June 30, 2016 and 2017 (unaudited) and June 30, 2017</w:t>
              </w:r>
            </w:hyperlink>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Pro Forma (unaudited)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Statements of Convertible Preferred Stock and Stockholders’ and Members’ Equity (Deficit) for the Year Ended December 31, 2016 and the Six</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Months Ended June 30, 2017 (unaudited) and June 30, 2017 Pro Forma (unaudited)</w:t>
              </w:r>
            </w:hyperlink>
          </w:p>
        </w:tc>
        <w:tc>
          <w:tcPr>
            <w:tcW w:w="6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Statements of Cash Flows for the Year Ended December 31, 2016 and the Six Months Ended June 30, 2016 and 2017 (unaudited)</w:t>
              </w:r>
            </w:hyperlink>
          </w:p>
        </w:tc>
        <w:tc>
          <w:tcPr>
            <w:tcW w:w="16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Notes to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840" w:type="dxa"/>
            <w:vAlign w:val="bottom"/>
            <w:gridSpan w:val="6"/>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Krystal Biotech, Inc.</w:t>
      </w:r>
    </w:p>
    <w:p>
      <w:pPr>
        <w:spacing w:after="0" w:line="200" w:lineRule="exact"/>
        <w:rPr>
          <w:sz w:val="20"/>
          <w:szCs w:val="20"/>
          <w:color w:val="auto"/>
        </w:rPr>
      </w:pPr>
    </w:p>
    <w:p>
      <w:pPr>
        <w:spacing w:after="0" w:line="223"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We have audited the accompanying balance sheet of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(the “Company”) as of December 31, 2016, and the related statements of operations, convertible preferred stock and stockholders’ and members’ equity (deficit), and cash flows for the year ended December 31, 2016. These financial statements are the responsibility of the Company’s management. Our responsibility is to express an opinion on these financial statements based on our audit.</w:t>
      </w:r>
    </w:p>
    <w:p>
      <w:pPr>
        <w:spacing w:after="0" w:line="7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67"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w:t>
      </w:r>
      <w:r>
        <w:rPr>
          <w:rFonts w:ascii="Arial" w:cs="Arial" w:eastAsia="Arial" w:hAnsi="Arial"/>
          <w:sz w:val="18"/>
          <w:szCs w:val="18"/>
          <w:b w:val="1"/>
          <w:bCs w:val="1"/>
          <w:color w:val="auto"/>
        </w:rPr>
        <w:t>Krystal Biotech, Inc.</w:t>
      </w:r>
      <w:r>
        <w:rPr>
          <w:rFonts w:ascii="Arial" w:cs="Arial" w:eastAsia="Arial" w:hAnsi="Arial"/>
          <w:sz w:val="18"/>
          <w:szCs w:val="18"/>
          <w:color w:val="auto"/>
        </w:rPr>
        <w:t xml:space="preserve"> as of December 31, 2016, and the results of its operations and its cash flows for the year ended December 31, 2016, in conformity with U.S. generally accepted accounting principles.</w:t>
      </w:r>
    </w:p>
    <w:p>
      <w:pPr>
        <w:spacing w:after="0" w:line="72"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experienced losses since inception and is dependent on future financing to fund its planned operations. These conditions raise substantial doubt about its ability to continue as a going concern. Management’s plans regarding these matters are also described in Note 1. The accompanying financial statements do not include any adjustments that might result should the Company be unable to continue as a going concern.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San Diego, California</w:t>
            </w:r>
          </w:p>
        </w:tc>
        <w:tc>
          <w:tcPr>
            <w:tcW w:w="800" w:type="dxa"/>
            <w:vAlign w:val="bottom"/>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3"/>
              </w:rPr>
              <w:t>July 14, 2017 (except for subsequent events noted in Note 13, as to which the date is September</w:t>
            </w:r>
          </w:p>
        </w:tc>
        <w:tc>
          <w:tcPr>
            <w:tcW w:w="80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0" w:lineRule="exact"/>
        <w:rPr>
          <w:sz w:val="20"/>
          <w:szCs w:val="20"/>
          <w:color w:val="auto"/>
        </w:rPr>
      </w:pPr>
    </w:p>
    <w:p>
      <w:pPr>
        <w:spacing w:after="0" w:line="2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financial statements give effect to a 1 for 4.5 forward stock split, in the form of a dividend, of the common stock and preferred stock of Krystal Biotech, Inc. which will take place prior to the effective date of the registration statement of which this prospectus is a part. The preceding report is in the form which will be furnished by Mayer Hoffman McCann P.C., an independent registered public accounting firm, upon completion of the 1 for 4.5 forward stock split, in the form of a dividend, of the common stock and preferred stock of Krystal Biotech, Inc. described in Note 13 to the financial statements and assuming that from July 14, 2017 to the date of such completion no other material events have occurred that would affect the accompanying financial statements or disclosure therein.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and per unit data)</w:t>
            </w:r>
          </w:p>
        </w:tc>
        <w:tc>
          <w:tcPr>
            <w:tcW w:w="3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3,518</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Prepaid research and development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Deferred offering costs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6"/>
              </w:rPr>
              <w:t>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Convertible Preferred Stock and Stockholders’ and Members’ Equity (Deficit)</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Related party convertible promissory notes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1,698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convertible promissory notes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Convertible promissory notes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$0.00001 par value; no shares authorized, issued, and outstanding</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w w:val="93"/>
              </w:rPr>
              <w:t>at December 31, 2016, and 100,000 shares authorized, 179,613 shares issued and 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w w:val="99"/>
              </w:rPr>
              <w:t>at June 30, 2017 (unaudited) (aggregate liquidation preference of $1,406), and no shares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issued and outstanding pro forma June 30, 2017 (unaudited)</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Stockholders’ and members’ equity (deficit)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$0.00001 par value; no shares authorized, issued or outstanding at December</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31, 2016, and 10,000,000 shares authorized, 3,490,884 shares issued and outstanding at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June 30, 2017 (unaudited), and 10,000,000 shares authorized, 4,631,130 shares issued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June 30, 2017 (unaudited)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w w:val="95"/>
              </w:rPr>
              <w:t>Common units; no par value; 3,490,884 units authorized, issued, and outstanding at December</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w w:val="94"/>
              </w:rPr>
              <w:t>31, 2016, no common units authorized, issued, and outstanding at June 30, 2017 (unaudited),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or pro forma June 30, 2017 (unaudited)</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units; no par value; 179,613 units authorized, issued, and outstanding at December 31,</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2016 (aggregate liquidation preference of $1,406), no preferred units authorized, issued,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June 30, 2017 (unaudited), or pro forma June 30, 2017 (unaudited)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(2,403)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Total stockholders’ and members’ equity (deficit)</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(2,235)</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and members’ equity (deficit)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3,977</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9"/>
              </w:rPr>
              <w:t>Six Months Ended 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shares, units, and per share and per unit</w:t>
            </w:r>
          </w:p>
        </w:tc>
        <w:tc>
          <w:tcPr>
            <w:tcW w:w="3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8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center"/>
              <w:ind w:right="1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60" w:type="dxa"/>
            <w:vAlign w:val="bottom"/>
            <w:gridSpan w:val="5"/>
            <w:vMerge w:val="restart"/>
          </w:tcPr>
          <w:p>
            <w:pPr>
              <w:jc w:val="right"/>
              <w:ind w:right="1280"/>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other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stockholders and members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(201)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 and common unit</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(447.03</w:t>
            </w:r>
          </w:p>
        </w:tc>
        <w:tc>
          <w:tcPr>
            <w:tcW w:w="180" w:type="dxa"/>
            <w:vAlign w:val="bottom"/>
          </w:tcPr>
          <w:p>
            <w:pPr>
              <w:jc w:val="right"/>
              <w:ind w:right="44"/>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basic and diluted common shares and common units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2)</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877,490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450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3,490,884</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w w:val="99"/>
              </w:rPr>
              <w:t>Pro forma basic and diluted net loss per common share and common unit</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(unaudited) (Note 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Pro forma weighted-average basic and diluted common shares and common</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(unaudited) (Note 2)</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4,275,455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and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units and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11"/>
            <w:vMerge w:val="restart"/>
          </w:tcPr>
          <w:p>
            <w:pPr>
              <w:ind w:left="220"/>
              <w:spacing w:after="0"/>
              <w:rPr>
                <w:sz w:val="20"/>
                <w:szCs w:val="20"/>
                <w:color w:val="auto"/>
              </w:rPr>
            </w:pPr>
            <w:r>
              <w:rPr>
                <w:rFonts w:ascii="Arial" w:cs="Arial" w:eastAsia="Arial" w:hAnsi="Arial"/>
                <w:sz w:val="13"/>
                <w:szCs w:val="13"/>
                <w:b w:val="1"/>
                <w:bCs w:val="1"/>
                <w:color w:val="auto"/>
                <w:w w:val="89"/>
              </w:rPr>
              <w:t>Stockholders' and Members’ Equity (Deficit)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11"/>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tcBorders>
              <w:right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rPr>
              <w:t>Convertible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tcBorders>
              <w:right w:val="single" w:sz="8" w:color="auto"/>
            </w:tcBorders>
            <w:gridSpan w:val="6"/>
          </w:tcPr>
          <w:p>
            <w:pPr>
              <w:jc w:val="right"/>
              <w:ind w:right="24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220" w:type="dxa"/>
            <w:vAlign w:val="bottom"/>
          </w:tcPr>
          <w:p>
            <w:pPr>
              <w:spacing w:after="0"/>
              <w:rPr>
                <w:sz w:val="11"/>
                <w:szCs w:val="11"/>
                <w:color w:val="auto"/>
              </w:rPr>
            </w:pPr>
          </w:p>
        </w:tc>
        <w:tc>
          <w:tcPr>
            <w:tcW w:w="112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1400" w:type="dxa"/>
            <w:vAlign w:val="bottom"/>
            <w:gridSpan w:val="6"/>
          </w:tcPr>
          <w:p>
            <w:pPr>
              <w:ind w:left="200"/>
              <w:spacing w:after="0" w:line="135" w:lineRule="exact"/>
              <w:rPr>
                <w:sz w:val="20"/>
                <w:szCs w:val="20"/>
                <w:color w:val="auto"/>
              </w:rPr>
            </w:pPr>
            <w:r>
              <w:rPr>
                <w:rFonts w:ascii="Arial" w:cs="Arial" w:eastAsia="Arial" w:hAnsi="Arial"/>
                <w:sz w:val="13"/>
                <w:szCs w:val="13"/>
                <w:b w:val="1"/>
                <w:bCs w:val="1"/>
                <w:color w:val="auto"/>
              </w:rPr>
              <w:t>Common Units</w:t>
            </w:r>
          </w:p>
        </w:tc>
        <w:tc>
          <w:tcPr>
            <w:tcW w:w="1260" w:type="dxa"/>
            <w:vAlign w:val="bottom"/>
            <w:gridSpan w:val="5"/>
          </w:tcPr>
          <w:p>
            <w:pPr>
              <w:jc w:val="right"/>
              <w:ind w:right="280"/>
              <w:spacing w:after="0" w:line="135" w:lineRule="exact"/>
              <w:rPr>
                <w:sz w:val="20"/>
                <w:szCs w:val="20"/>
                <w:color w:val="auto"/>
              </w:rPr>
            </w:pPr>
            <w:r>
              <w:rPr>
                <w:rFonts w:ascii="Arial" w:cs="Arial" w:eastAsia="Arial" w:hAnsi="Arial"/>
                <w:sz w:val="13"/>
                <w:szCs w:val="13"/>
                <w:b w:val="1"/>
                <w:bCs w:val="1"/>
                <w:color w:val="auto"/>
              </w:rPr>
              <w:t>Preferred Units</w:t>
            </w: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Members’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ind w:left="20"/>
              <w:spacing w:after="0" w:line="104" w:lineRule="exact"/>
              <w:rPr>
                <w:sz w:val="20"/>
                <w:szCs w:val="20"/>
                <w:color w:val="auto"/>
              </w:rPr>
            </w:pPr>
            <w:r>
              <w:rPr>
                <w:rFonts w:ascii="Arial" w:cs="Arial" w:eastAsia="Arial" w:hAnsi="Arial"/>
                <w:sz w:val="11"/>
                <w:szCs w:val="11"/>
                <w:b w:val="1"/>
                <w:bCs w:val="1"/>
                <w:color w:val="auto"/>
              </w:rPr>
              <w:t>Paid-in</w:t>
            </w:r>
          </w:p>
        </w:tc>
        <w:tc>
          <w:tcPr>
            <w:tcW w:w="900" w:type="dxa"/>
            <w:vAlign w:val="bottom"/>
            <w:gridSpan w:val="3"/>
            <w:vMerge w:val="restart"/>
          </w:tcPr>
          <w:p>
            <w:pPr>
              <w:spacing w:after="0" w:line="104"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line="104"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40" w:type="dxa"/>
            <w:vAlign w:val="bottom"/>
          </w:tcPr>
          <w:p>
            <w:pPr>
              <w:spacing w:after="0"/>
              <w:rPr>
                <w:sz w:val="13"/>
                <w:szCs w:val="13"/>
                <w:color w:val="auto"/>
              </w:rPr>
            </w:pPr>
          </w:p>
        </w:tc>
        <w:tc>
          <w:tcPr>
            <w:tcW w:w="5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Shares</w:t>
            </w: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Units</w:t>
            </w: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January 1, 2016</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center"/>
              <w:ind w:left="297"/>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Issuance of common units</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450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100</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Conversion from common units to preferred units</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(100)</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12,771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Issuance of preferred and common units</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3,490,884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166,842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87"/>
              </w:rPr>
              <w:t>(1,150)</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2016</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3,490,884</w:t>
            </w:r>
          </w:p>
        </w:tc>
        <w:tc>
          <w:tcPr>
            <w:tcW w:w="10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7"/>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179,613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1,406</w:t>
            </w:r>
          </w:p>
        </w:tc>
        <w:tc>
          <w:tcPr>
            <w:tcW w:w="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(1,150)</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Conversion of preferred units to preferred stock (unaudited)</w:t>
            </w:r>
          </w:p>
        </w:tc>
        <w:tc>
          <w:tcPr>
            <w:tcW w:w="5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5"/>
              </w:rPr>
              <w:t>179,613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1,406</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3"/>
              </w:rPr>
              <w:t>(179,613)</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(1,406)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Conversion of common units to common stock (unaudited)</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9"/>
              </w:rPr>
              <w:t>3,490,884</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(3,490,884)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 (unaudited)</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135</w:t>
            </w:r>
          </w:p>
        </w:tc>
        <w:tc>
          <w:tcPr>
            <w:tcW w:w="120" w:type="dxa"/>
            <w:vAlign w:val="bottom"/>
          </w:tcPr>
          <w:p>
            <w:pPr>
              <w:spacing w:after="0"/>
              <w:rPr>
                <w:sz w:val="11"/>
                <w:szCs w:val="11"/>
                <w:color w:val="auto"/>
              </w:rPr>
            </w:pPr>
          </w:p>
        </w:tc>
        <w:tc>
          <w:tcPr>
            <w:tcW w:w="78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(unaudited)</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(1,253)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Balances at June 30, 2017 (unaudited)</w:t>
            </w:r>
          </w:p>
        </w:tc>
        <w:tc>
          <w:tcPr>
            <w:tcW w:w="500" w:type="dxa"/>
            <w:vAlign w:val="bottom"/>
            <w:tcBorders>
              <w:top w:val="single" w:sz="8" w:color="auto"/>
            </w:tcBorders>
          </w:tcPr>
          <w:p>
            <w:pPr>
              <w:jc w:val="center"/>
              <w:ind w:left="37"/>
              <w:spacing w:after="0" w:line="143" w:lineRule="exact"/>
              <w:rPr>
                <w:sz w:val="20"/>
                <w:szCs w:val="20"/>
                <w:color w:val="auto"/>
              </w:rPr>
            </w:pPr>
            <w:r>
              <w:rPr>
                <w:rFonts w:ascii="Arial" w:cs="Arial" w:eastAsia="Arial" w:hAnsi="Arial"/>
                <w:sz w:val="13"/>
                <w:szCs w:val="13"/>
                <w:color w:val="auto"/>
                <w:w w:val="85"/>
              </w:rPr>
              <w:t>179,613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1,406</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3,490,884</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tcBorders>
              <w:top w:val="single" w:sz="8" w:color="auto"/>
            </w:tcBorders>
          </w:tcPr>
          <w:p>
            <w:pPr>
              <w:ind w:left="40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27"/>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tcPr>
          <w:p>
            <w:pPr>
              <w:ind w:left="16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3"/>
                <w:szCs w:val="13"/>
                <w:color w:val="auto"/>
                <w:w w:val="73"/>
              </w:rPr>
              <w:t>168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(2,403)</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 convertible preferred stock to common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(unaudited)</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6"/>
              </w:rPr>
              <w:t>(179,613)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(1,406)</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179,613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11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tcPr>
          <w:p>
            <w:pPr>
              <w:spacing w:after="0" w:line="121" w:lineRule="exact"/>
              <w:rPr>
                <w:sz w:val="20"/>
                <w:szCs w:val="20"/>
                <w:color w:val="auto"/>
              </w:rPr>
            </w:pPr>
            <w:r>
              <w:rPr>
                <w:rFonts w:ascii="Arial" w:cs="Arial" w:eastAsia="Arial" w:hAnsi="Arial"/>
                <w:sz w:val="13"/>
                <w:szCs w:val="13"/>
                <w:color w:val="auto"/>
              </w:rPr>
              <w:t>Conversion of convertible promissory notes to common stock</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120"/>
              <w:spacing w:after="0"/>
              <w:rPr>
                <w:sz w:val="20"/>
                <w:szCs w:val="20"/>
                <w:color w:val="auto"/>
              </w:rPr>
            </w:pPr>
            <w:r>
              <w:rPr>
                <w:rFonts w:ascii="Arial" w:cs="Arial" w:eastAsia="Arial" w:hAnsi="Arial"/>
                <w:sz w:val="13"/>
                <w:szCs w:val="13"/>
                <w:color w:val="auto"/>
              </w:rPr>
              <w:t>(unaudited)</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960,633</w:t>
            </w:r>
          </w:p>
        </w:tc>
        <w:tc>
          <w:tcPr>
            <w:tcW w:w="16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7,355</w:t>
            </w:r>
          </w:p>
        </w:tc>
        <w:tc>
          <w:tcPr>
            <w:tcW w:w="120" w:type="dxa"/>
            <w:vAlign w:val="bottom"/>
          </w:tcPr>
          <w:p>
            <w:pPr>
              <w:spacing w:after="0"/>
              <w:rPr>
                <w:sz w:val="12"/>
                <w:szCs w:val="12"/>
                <w:color w:val="auto"/>
              </w:rPr>
            </w:pPr>
          </w:p>
        </w:tc>
        <w:tc>
          <w:tcPr>
            <w:tcW w:w="780" w:type="dxa"/>
            <w:vAlign w:val="bottom"/>
            <w:gridSpan w:val="2"/>
          </w:tcPr>
          <w:p>
            <w:pPr>
              <w:jc w:val="center"/>
              <w:ind w:left="77"/>
              <w:spacing w:after="0"/>
              <w:rPr>
                <w:sz w:val="20"/>
                <w:szCs w:val="20"/>
                <w:color w:val="auto"/>
              </w:rPr>
            </w:pPr>
            <w:r>
              <w:rPr>
                <w:rFonts w:ascii="Arial" w:cs="Arial" w:eastAsia="Arial" w:hAnsi="Arial"/>
                <w:sz w:val="13"/>
                <w:szCs w:val="13"/>
                <w:color w:val="auto"/>
                <w:w w:val="87"/>
              </w:rPr>
              <w:t>(3,133)</w:t>
            </w: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Pro Forma Balances at June 30, 2017 (unaudited)</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9"/>
              </w:rPr>
              <w:t>4,631,130</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27"/>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8,929</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7"/>
              </w:rPr>
              <w:t>(5,536)</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7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8"/>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5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$(201)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7</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Prepaid research and development expenses</w:t>
            </w: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(246)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Increase (decrease) in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the issuance of convertible promissory notes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1,145</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related party convertible promissory notes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698</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Issuance of common stock and common units</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stock and preferred units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1,306</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8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cash</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710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1,923</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3"/>
              </w:rPr>
              <w:t>$ 710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Operating,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common units to preferred units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Conversion of preferred units to preferred stock</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for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Unpaid deferred offering costs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Krystal Biotech, Inc. (formerly Krystal Biotech,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Krystal Biotech, Inc. (the “Company”) was formed on December 20, 2015 in the State of California as Krystal Biotech, LLC, but began operations on April 15, 2016. On March 31, 2017, the Company converted from a limited liability company (“LLC”) to a C-corporation in the state of Delaware, and changed its name to Krystal Biotech, Inc. The Company seeks to use gene therapy to develop novel treatments for patients suffering from dermatological diseases. The Company is currently conducting preclinical studies evaluating its lead product candidate, KB103, which is intended to treat dystrophic epidermolysis bullosa, or DEB, a rare and severe genetic disease for which there is currently no approved treatment.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of December 31, 2016, the Company generated an accumulated deficit of $1.2 million since inception and will require substantial additional capital to fund its research and development. As of June 30, 2017, the accumulated deficit was $2.4 million. The Company believes that its cash of approximately $3.5 million as of June 30, 2017 plus the proceeds of approximately $7.0 million from the issuance of preferred stock in August 2017 will be sufficient to allow the Company to fund its operations into at least the second quarter of 2018. As the Company continues to incur losses, a transition to profitability is dependent upon the successful development, approval and commercialization of its product candidates and the achievement of a level of revenues adequate to support the Company’s cost structure. The Company may never achieve profitability, and unless and until it does, the Company will continue to need to raise additional capital or obtain financing from other sources, such as partnerships. Management intends to fund future operations through the sale of equity and debt financings and may also seek additional capital through arrangements with strategic partners or other sources. There can be no assurances, however, that additional funding will be available on terms acceptable to the Company, or at all. The Company is seeking to complete an initial public offering (“IPO”) of its common stock. Upon the closing of a qualified public offering, the Company’s outstanding convertible promissory notes and convertible preferred stock will automatically convert into shares of common stock (Note 8).</w:t>
      </w:r>
    </w:p>
    <w:p>
      <w:pPr>
        <w:spacing w:after="0" w:line="7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foregoing matters give rise to substantial doubt about the Company’s ability to continue as a going concern. The accompanying financial statements do not include any adjustments that might result from the outcome of this uncertainty.</w:t>
      </w:r>
    </w:p>
    <w:p>
      <w:pPr>
        <w:spacing w:after="0" w:line="62"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of technological innovations by its competitors, risks of failure of clinical studies, dependence on key personnel, protection of proprietary technology, compliance with government regulations, and ability to transition from preclinical manufacturing to commercial production of products.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accompanying balance sheet as of June 30, 2017, the statements of operations and statements of cash flows for the six months ended June 30, 2016 and 2017, the statement of convertible preferred stock and stockholders’ and members equity (deficit) for the six months ended June 30, 2017 and the related information contained within the notes to the financial statements are unaudited. The interim financial statements have been prepared on the same basis as the annual audited financial statements and, in the opinion of management, reflect all adjustments, consisting of normal and recurring adjustments, necessary for the fair presentation of the Company’s financial position at June 30, 2017 and results of its operations and its cash flows for the six months ended June 30, 2016 and 2017. The results for the six months ended June 30, 2017 are not necessarily indicative of results to be expected for the year ending December 31, 2017 or any other interim or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July 13, 2017, the Company’s board of directors authorized the Company to file a registration statement with the Securities and Exchange Commission (“SEC”) permitting the Company to sell shares of its common stock to the public. Upon the closing of a qualified (as defined in the Company’s Articles of Incorporation) initial public offering (“IPO”) or otherwise upon the election of the holders of the specified percentage of Preferred Stock, all of the Company’s outstanding convertible preferred stock will automatically convert into common stock and will meet the GAAP criteria for equity classification. The unaudited pro forma balance sheet and statement of convertible preferred stock and stockholders’ and member’s equity (deficit) as of June 30, 2017 reflect the assumed conversion of all of the outstanding shares of convertible preferred stock (“Preferred Stock”), the convertible promissory notes (the “Notes”) and accrued interest into shares of common stock upon the completion of this proposed offering.</w:t>
      </w:r>
    </w:p>
    <w:p>
      <w:pPr>
        <w:spacing w:after="0" w:line="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Unaudited pro forma net loss per share attributable to common stockholders is computed using the weighted-average number of common shares outstanding after giving effect to the conversion of all the outstanding Preferred Stock and the convertible promissory notes, plus accrued interest, into shares of common stock as if such conversion had occurred at the beginning of the period presented, or the date of original issuance, if later. As the year ended December 31, 2016 and the six months ended June 30, 2016 and 2017 resulted in net losses, there is no income allocation required under the two-class method or dilution attributed to pro forma weighted average shares outstanding in the calculation of pro forma diluted loss per share attributable to common stockholders.</w:t>
      </w:r>
    </w:p>
    <w:p>
      <w:pPr>
        <w:spacing w:after="0" w:line="8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noted above, the unaudited pro forma information reflects the automatic conversion, at the closing of an IPO of the Company’s common stock, of all outstanding shares of Preferred Stock and the Notes into 1,140,246 shares of common stock. The conversion has been reflected assuming a 1-to-1 conversion ratio for the Preferred Stock and the conversion of the Notes plus accrued interest as of June 30, 2017, into 179,613 shares and 960,633 shares of the company’s common stock, respectively and excludes 914,107 shares of Series A preferred issued on August 8, 2017 to Sun Pharma (Netherlands) B.V (Note 13). See Note 8 for further discussion of the Preferred Stock conversion feature, as well as a discussion of the rights and preferences of the Preferred Stock and see Note 5 for further discussion of the conversion features of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the fair value of financial instruments, and the valuation allowance included in the deferred income taxes calculations.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and the Company’s chief operating decision maker view the Company’s operations and manage its business in one operating segment, which is the business of developing and commercializing pharmaceuticals. The Company operates in only one geographic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financial instrument that potentially subjects the Company to concentrations of credit risk is cash held in a depository account. The Company’s cash is held with a financial institution that management believes is creditworthy. These amounts at times may exceed federally insured limits. The Company has not experienced any credit losses in such accounts and does not believe it is exposed to any significant credit risk on these funds. The Company has no financial instruments with off-balance sheet risk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IPO, are capitalized within other assets. The deferred issuance costs will be offset against IPO proceeds upon the consummation of the offering. In the event the offering is terminated, deferred offering costs will be expensed. The Company has incurred $287 thousand in IPO costs as of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established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best information available in the circumstances. The fair value hierarchy applies only to the valuation inputs used in determining the reported or disclosed fair value of the financial instruments and 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 measure of the investment credit quality. Fair value measurements are classified and disclosed in one of the following three categories:</w:t>
      </w:r>
    </w:p>
    <w:p>
      <w:pPr>
        <w:spacing w:after="0" w:line="131" w:lineRule="exact"/>
        <w:rPr>
          <w:sz w:val="20"/>
          <w:szCs w:val="20"/>
          <w:color w:val="auto"/>
        </w:rPr>
      </w:pPr>
    </w:p>
    <w:p>
      <w:pPr>
        <w:ind w:left="660" w:right="120" w:hanging="206"/>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unadjusted 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75" w:lineRule="exact"/>
        <w:rPr>
          <w:rFonts w:ascii="Arial" w:cs="Arial" w:eastAsia="Arial" w:hAnsi="Arial"/>
          <w:sz w:val="18"/>
          <w:szCs w:val="18"/>
          <w:color w:val="auto"/>
        </w:rPr>
      </w:pPr>
    </w:p>
    <w:p>
      <w:pPr>
        <w:ind w:left="660" w:right="560" w:hanging="206"/>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quoted prices for similar assets or liabilities in markets that are not active or for which all significant inputs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either directly or indirectly.</w:t>
      </w:r>
    </w:p>
    <w:p>
      <w:pPr>
        <w:spacing w:after="0" w:line="75" w:lineRule="exact"/>
        <w:rPr>
          <w:rFonts w:ascii="Arial" w:cs="Arial" w:eastAsia="Arial" w:hAnsi="Arial"/>
          <w:sz w:val="18"/>
          <w:szCs w:val="18"/>
          <w:color w:val="auto"/>
        </w:rPr>
      </w:pPr>
    </w:p>
    <w:p>
      <w:pPr>
        <w:ind w:left="660" w:right="440" w:hanging="206"/>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that require inputs that reflect the Company’s own assumptions that are both significant to the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There have been no changes to the valuation methods utilized by the Company during the year ended December 31, 2016 and the six months ended June 30, 2017. The Company evaluates transfers between levels at the end of each reporting period. There were no transfers of financial instruments between levels during the year ended December 31, 2016 and the six months ended June 30, 2017.</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carrying amounts of financial instruments consisting of cash, prepaid expenses, accounts payable and accrued expenses, related party convertible promissory notes and convertible promissory notes included in the Company’s financial statements are reasonable estimates of fair value due to their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Property and equipment is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92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98"/>
              </w:rPr>
              <w:t>3 years</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Lab equipment</w:t>
            </w:r>
          </w:p>
        </w:tc>
        <w:tc>
          <w:tcPr>
            <w:tcW w:w="2920" w:type="dxa"/>
            <w:vAlign w:val="bottom"/>
          </w:tcPr>
          <w:p>
            <w:pPr>
              <w:ind w:left="2320"/>
              <w:spacing w:after="0"/>
              <w:rPr>
                <w:sz w:val="20"/>
                <w:szCs w:val="20"/>
                <w:color w:val="auto"/>
              </w:rPr>
            </w:pPr>
            <w:r>
              <w:rPr>
                <w:rFonts w:ascii="Arial" w:cs="Arial" w:eastAsia="Arial" w:hAnsi="Arial"/>
                <w:sz w:val="18"/>
                <w:szCs w:val="18"/>
                <w:color w:val="auto"/>
                <w:w w:val="98"/>
              </w:rPr>
              <w:t>3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 of the assets exceed their fair value. The Company has not recognized any impairment losses through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In accordance with the guidance in FASB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outstanding shares of Preferred Stock (Note 8), were classified outside of permanent equity and within temporary equity, as of June 30, 2017 due to their associated redemption features and liquidation preferences.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evaluated its Preferred Stock and determined that they are considered equity hosts under ASC 815.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the Preferred Stock. More specifically, the Company evaluated all of the stated and implied substantive terms and features, including: (i) whether the Preferred Stock included redemption features; (ii) how and when any redemption features could be exercised; (iii) whether the holders of the Preferred Stock were entitled to dividends and how those dividends were calculated; (iv) the voting rights of the Preferred Stock; and (v) the existence and nature of any conversion rights. As a result of the Company’s conclusion that the Preferred Stock both represent an equity host, the redemption features of the Preferred Stock are considered to be clearly and closely related to the associated equity host instruments. Accordingly, the redemption features of the Preferred Stock are not considered embedded derivatives that require bifurcation. The Company also concluded that the conversion rights under the Preferred Stock are clearly and closely related to the equity host instruments and are not considered embedded derivatives that require bifurcation.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Research and development costs are charged to expense as incurred in performing research and development activities. The costs include employee compensation costs, facilities and overhead, preclinical activities and related clinical manufacturing costs, regulatory and other related costs.</w:t>
      </w:r>
    </w:p>
    <w:p>
      <w:pPr>
        <w:spacing w:after="0" w:line="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estimates contract research and clinical trials materials manufacturing expenses based on the services performed pursuant to contracts with research and manufacturing organizations that manufacture materials used in the Company’s ongoing preclinical studies. Nonrefundable advanced payments for goods or services to be received in the future for use in research and development activities are deferred and capitalized. The capitalized amounts are expensed as the related goods are delivered or the services are performed.</w:t>
      </w:r>
    </w:p>
    <w:p>
      <w:pPr>
        <w:spacing w:after="0" w:line="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accruing service fees, the Company estimates the time period over which services will be performed and the level of effort to be expended in each period. 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to employees and directors in accordance with FASB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all stock-based payments to employees, including grants of employee stock options and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be recognized in the statements of operations based on their grant date fair values. Compensation expense related to awards to employees is recognized on a straight-line basis based on the grant date fair value over the associated service period of the award, which is generally the vesting term. Share-based payments issued to non-employees are recorded at their fair values, and are periodically revalued as the equity instruments vest and are recognized as expense over the related service period in accordance with the provisions of ASC 718 and ASC Topic 505, </w:t>
      </w:r>
      <w:r>
        <w:rPr>
          <w:rFonts w:ascii="Arial" w:cs="Arial" w:eastAsia="Arial" w:hAnsi="Arial"/>
          <w:sz w:val="18"/>
          <w:szCs w:val="18"/>
          <w:i w:val="1"/>
          <w:iCs w:val="1"/>
          <w:color w:val="auto"/>
        </w:rPr>
        <w:t>Equity,</w:t>
      </w:r>
      <w:r>
        <w:rPr>
          <w:rFonts w:ascii="Arial" w:cs="Arial" w:eastAsia="Arial" w:hAnsi="Arial"/>
          <w:sz w:val="18"/>
          <w:szCs w:val="18"/>
          <w:color w:val="auto"/>
        </w:rPr>
        <w:t xml:space="preserve"> and are expensed using an accelerated attribution model.</w:t>
      </w:r>
    </w:p>
    <w:p>
      <w:pPr>
        <w:spacing w:after="0" w:line="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estimates the fair value of its stock options using the Black-Scholes option pricing model, which requires the input of subjective assumptions, including: (i) the expected stock price volatility; (ii) the expected term of the award; (iii) the risk-free interest rate; (iv) expected dividends; and</w:t>
      </w:r>
    </w:p>
    <w:p>
      <w:pPr>
        <w:jc w:val="both"/>
        <w:ind w:right="60" w:firstLine="8"/>
        <w:spacing w:after="0" w:line="255" w:lineRule="auto"/>
        <w:tabs>
          <w:tab w:leader="none" w:pos="2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estimated fair value of its Common Stock on the measurement date. Due to the lack of a public market for the trading of its Common Stock and a lack of Company-specific historical and implied volatility data, the Company has based its estimate of expected volatility on the historical volatility of a group of similar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Due to the lack of Company-specific historical option activity, the Company has estimated the expected term of its employee stock options using the “simplified” method, whereby the expected term equals the arithmetic average of the vesting term and the original contractual term of the option. The expected term for non-employee awards is the remaining contractual term of the option. The risk-free interest rates are based on the U.S. Treasury securities with a maturity date commensurate with the expected term of the associated award. The Company has never paid, and does not expect to pay dividends in the foreseeable future.</w:t>
      </w:r>
    </w:p>
    <w:p>
      <w:pPr>
        <w:spacing w:after="0" w:line="5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is also required to estimate forfeitures at the time of grant, and revise those estimates in subsequent periods if actual forfeitures differ from its estimates. The Company uses historical data to estimate forfeitures and records stock-based compensation expense only for those awards that are expected to vest.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For the year ended December 31, 2016, the Company was organized in the State of California as a limited liability corporation and was taxed as a partnership for United States income tax purposes and therefore files federal and state flow through income tax returns. As a result, no U.S. current or deferred income tax assets or liabilities are reflected in December 31, 2016 financial statements. The Company’s members are obligated to report that member’s proportionate share of the Company’s taxable income or loss.</w:t>
      </w:r>
    </w:p>
    <w:p>
      <w:pPr>
        <w:spacing w:after="0" w:line="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the six months ended June 30, 2017 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2017, the Company does not have any significant uncertain tax positions.</w:t>
      </w:r>
    </w:p>
    <w:p>
      <w:pPr>
        <w:spacing w:after="0" w:line="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may recognize interest and penalties related to uncertain tax positions in income tax expense. As of December 31, 2016 and June 30, 2017, the Company had no accrued interest or penalties related to uncertain tax positions and no amounts have been recognized in the Company’s statements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31, 2017, the Company converted from an LLC to a C-corporation. Upon the conversion, each common unit and each preferred unit (Note 8) held were converted into one share of common stock and Preferred Stock, respectively. Common units of the LLC had similar rights and characteristics of common stock issued upon the conversion. In calculating net loss per share, the Company retrospectively applied the effects of the conversion to the number of common units outstanding prior to the conversion. Net loss per share for periods prior to the conversion to a C-corporation refers to net loss per common unit.</w:t>
      </w:r>
    </w:p>
    <w:p>
      <w:pPr>
        <w:spacing w:after="0" w:line="8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Basic net loss per share attributable to common stockholders is calculated by dividing net loss attributable to common stockholders by the weighted average shares outstanding during the period, without consideration for common stock equivalents. During periods of income, the Company allocates participating securities a proportional share of income determined by dividing total weighted average participating securities by the sum of the total weighted average common shares and participating securities (the “two-class method”). The Company’s convertible preferred stock participate in any dividends declared by the Company and are therefore considered to be participating securities. Participating securities have the effect of diluting both basic and diluted earnings per share during periods of income. During periods of loss, the Company allocates no loss to participating securities because they have no contractual obligation to share in the losses of the Company. Diluted net loss per share attributable to common stockholders is calculated by adjusting weighted average shares outstanding for the dilutive effect of common stock equivalents outstanding for the period, determined using the treasury-stock and if-converted methods. For purposes of the diluted net loss per share attributable to common stockholders calculation, preferred stock, and stock options are considered to be common stock equivalents but have been excluded from the calculation of diluted net loss per share attributable to common stockholders, as their effect would be anti-dilutive for all periods presented. Therefore, basic and diluted net loss per share were the same for all periods presented.</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9"/>
              </w:rPr>
              <w:t>(unaudited)</w:t>
            </w:r>
          </w:p>
        </w:tc>
        <w:tc>
          <w:tcPr>
            <w:tcW w:w="900" w:type="dxa"/>
            <w:vAlign w:val="bottom"/>
          </w:tcPr>
          <w:p>
            <w:pPr>
              <w:spacing w:after="0"/>
              <w:rPr>
                <w:sz w:val="12"/>
                <w:szCs w:val="12"/>
                <w:color w:val="auto"/>
              </w:rPr>
            </w:pPr>
          </w:p>
        </w:tc>
        <w:tc>
          <w:tcPr>
            <w:tcW w:w="8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Net loss applicable to common stockholders and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members</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Weighted-average basic and diluted common shares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877,490</w:t>
            </w:r>
          </w:p>
        </w:tc>
        <w:tc>
          <w:tcPr>
            <w:tcW w:w="2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3,490,884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shares</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(447.03)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9"/>
              </w:rPr>
              <w:t>Pro forma basic and diluted net loss per common share</w:t>
            </w: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and common unit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 circumstances from non-owner sources. The Company is required to record all components of comprehensive loss in the financial statements in the period in which they are recognized. Net loss and other comprehensive loss are reported, net of their related tax effect, to arrive at a comprehensive loss. For the year ended December 31, 2016, the six months ended June 30, 2016 and the six months ended June 30, 2017 and the six months ended June 30, 2017 (pro forma), comprehensive loss was equal to the net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In August 2014, the FASB issued </w:t>
      </w:r>
      <w:r>
        <w:rPr>
          <w:rFonts w:ascii="Arial" w:cs="Arial" w:eastAsia="Arial" w:hAnsi="Arial"/>
          <w:sz w:val="17"/>
          <w:szCs w:val="17"/>
          <w:i w:val="1"/>
          <w:iCs w:val="1"/>
          <w:color w:val="auto"/>
        </w:rPr>
        <w:t>ASU 2014-15 Disclosures of Uncertainties about an Entity’s Ability to Continue as a Going Concern</w:t>
      </w:r>
      <w:r>
        <w:rPr>
          <w:rFonts w:ascii="Arial" w:cs="Arial" w:eastAsia="Arial" w:hAnsi="Arial"/>
          <w:sz w:val="17"/>
          <w:szCs w:val="17"/>
          <w:color w:val="auto"/>
        </w:rPr>
        <w:t xml:space="preserve"> (“ASU 2014-15”). The standard requires an evaluation of whether there are conditions or events, considered in the aggregate, that raise substantial doubt about an entity’s ability to continue as a going concern. Substantial doubt about an entity’s ability to continue as a going concern exists when relevant conditions and events, considered in the aggregate, indicate that it is probable that the entity will be unable to meet its obligations as they become due within one year after the date that the financial statements are issued. ASU 2014-15 is effective for annual periods ending after December 15, 2016 and for interim periods within annual periods beginning after December 15, 2016. The Company has adopted this standard as of December 31, 2016 and the adoption did not have a material impact, refer to Note 1 for future details regarding the Company’s liquidity.</w:t>
      </w:r>
    </w:p>
    <w:p>
      <w:pPr>
        <w:spacing w:after="0" w:line="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February 2016, the FASB issued </w:t>
      </w:r>
      <w:r>
        <w:rPr>
          <w:rFonts w:ascii="Arial" w:cs="Arial" w:eastAsia="Arial" w:hAnsi="Arial"/>
          <w:sz w:val="17"/>
          <w:szCs w:val="17"/>
          <w:i w:val="1"/>
          <w:iCs w:val="1"/>
          <w:color w:val="auto"/>
        </w:rPr>
        <w:t>ASU 2016-02 Leases (Topic 842</w:t>
      </w:r>
      <w:r>
        <w:rPr>
          <w:rFonts w:ascii="Arial" w:cs="Arial" w:eastAsia="Arial" w:hAnsi="Arial"/>
          <w:sz w:val="17"/>
          <w:szCs w:val="17"/>
          <w:color w:val="auto"/>
        </w:rPr>
        <w:t>) (“ASU 2016-02”), which replaces the existing lease accounting standards. The new standard requires a dual approach for lessee accounting under which a lessee would account for leases as finance (also referred to as capital) leases or operating leases. Both finance leases and operating leases will result in the lessee recognizing a right-of-use asset and corresponding lease liability. For finance leases the lessee would recognize interest expense and amortization of the right-of-use asset and for operating leases the lessee would recognize straight-line total lease expense. ASU 2016-02 is effective for fiscal years, and interim periods within those years, beginning after December 15, 2018. The Company generally does not finance purchases of equipment but it does lease office and lab facilities. The Company is in the process of evaluating the effect that this ASU will have on its financial statements and related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date the financial statements are available to be issued for potential recognition or disclosure in the financial statements.</w:t>
      </w:r>
    </w:p>
    <w:p>
      <w:pPr>
        <w:spacing w:after="0" w:line="193"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2016 and June 30, 2017, cash balances consist of a single depository account. Cash balances at December 31, 2016 and June 30, 2017 were $1.9 million and $3.5 million, respectively.</w:t>
      </w:r>
    </w:p>
    <w:p>
      <w:pPr>
        <w:spacing w:after="0" w:line="19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 of the following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Depreciation expense was $2 thousand, $1 and $4 thousand for the year ended December 31, 2016 and the six months ended June 30, 2016 and 2017, respectively.</w:t>
      </w:r>
    </w:p>
    <w:p>
      <w:pPr>
        <w:spacing w:after="0" w:line="193" w:lineRule="exact"/>
        <w:rPr>
          <w:sz w:val="20"/>
          <w:szCs w:val="20"/>
          <w:color w:val="auto"/>
        </w:rPr>
      </w:pPr>
    </w:p>
    <w:p>
      <w:pPr>
        <w:ind w:right="8560" w:firstLine="8"/>
        <w:spacing w:after="0" w:line="378" w:lineRule="auto"/>
        <w:tabs>
          <w:tab w:leader="none" w:pos="44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 General</w:t>
      </w:r>
    </w:p>
    <w:p>
      <w:pPr>
        <w:ind w:right="140" w:firstLine="456"/>
        <w:spacing w:after="0" w:line="277" w:lineRule="auto"/>
        <w:rPr>
          <w:sz w:val="20"/>
          <w:szCs w:val="20"/>
          <w:color w:val="auto"/>
        </w:rPr>
      </w:pPr>
      <w:r>
        <w:rPr>
          <w:rFonts w:ascii="Arial" w:cs="Arial" w:eastAsia="Arial" w:hAnsi="Arial"/>
          <w:sz w:val="18"/>
          <w:szCs w:val="18"/>
          <w:color w:val="auto"/>
        </w:rPr>
        <w:t>On November 16, 2016, the Company executed a Note Purchase Agreement (the “Agreement”) for the issuance of convertible promissory notes (the “Notes”). The Notes bear interest at a rate of 6% per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annum, which is accrued based on a 365 day year and mature, unless sooner paid or converted, principal plus unpaid accrued interest 18 months following the date of the Agreement or May 14, 2018. The Notes become immediately due and payable in the event of an occurrence of default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(i) become immediately due and payable, or (ii) convert into a number of shares of common stock or common units (rounded down to the nearest share), obtained by dividing the outstanding Notes converted by dividing the target valuation of $16.0 million by the fully diluted shares.</w:t>
      </w:r>
    </w:p>
    <w:p>
      <w:pPr>
        <w:spacing w:after="0" w:line="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the Company shall issue and sell preferred units in the Company, or if the Company has converted into corporate form, shares of the preferred stock of the Company (in either case, the “Financing Securities”), to investors for aggregate proceeds to the Company of not less than $5.0 million, including amounts outstanding under the Notes, then the Notes shall be automatically converted, at the initial closing of the financing event, into a number of units of Financing Securities equal to the quotient by dividing the balance of the outstanding Notes so converted by a price per unit or share that is the lesser of: (i) 80% of the per unit or share price of the Financing Securities; or (ii) the target valuation of $16.0 million divided by the fully diluted units or shares immediately prior to closing of the financing event.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2017, the Notes were amended so that they would also automatically convert upon the closing of an initial public offering into common stock.</w:t>
      </w:r>
    </w:p>
    <w:p>
      <w:pPr>
        <w:spacing w:after="0" w:line="14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and June 30, 2017, the Company had outstanding balances related to the Notes of $1.8 million and $4.1 million, respectively. Additionally, as of December 31, 2016 and June 30, 2017, the Company had accrued interest related to the Notes of $7 thousand and $80 thousand, respectively.</w:t>
      </w:r>
    </w:p>
    <w:p>
      <w:pPr>
        <w:spacing w:after="0" w:line="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Interest expense related to the Notes was $7 thousand, $0 and $73 thousand for the year ended December 31, 2016 and the six months ended June 30, 2016 and 2017, respectively.</w:t>
      </w:r>
    </w:p>
    <w:p>
      <w:pPr>
        <w:spacing w:after="0" w:line="6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August 8, 2017, the Notes plus accrued interest, were converted into Preferred Stock, which was the result of the sale of Preferred Stock for aggregate proceeds of $7.0 million (Note 13).</w:t>
      </w:r>
    </w:p>
    <w:p>
      <w:pPr>
        <w:spacing w:after="0" w:line="193"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Convertible Promissory Notes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November 14, 2016,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December 27, 2016, the Company issued a convertible promissory note, in the amount of $448 thousand, under the Agreement (Note 5) to a party related to two executive officers and directors of the Company. The terms of the Notes issued to the related party were at an arms-length and identical to the Notes issued and fully disclosed in Note 5.</w:t>
      </w:r>
    </w:p>
    <w:p>
      <w:pPr>
        <w:spacing w:after="0" w:line="73"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May 17, 2017, the Company issued a convertible promissory note, in the amount of $250 thousand, under the Agreement (Note 5) to a party related to a director of the Company. The terms of the Notes issued to the related party were at an arms-length and identical to the Notes issued and fully disclosed in Note 5.</w:t>
      </w:r>
    </w:p>
    <w:p>
      <w:pPr>
        <w:spacing w:after="0" w:line="73"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On June 6, 2017, the Company executed a Second Note Purchase Agreement (the “Second Agreement”) for the issuance of a convertible promissory note to a director of the Company (the “June Note”) in the amount of $750 thousand. The convertible promissory note bears interest at a rate of 6% per annum, which is accrued based on a 365 day year and mature, unless sooner paid or converted, principal plus unpaid accrued interest on May 14, 2018. The convertible promissory note becomes immediately due and payable in the event of an occurrence of default by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the Company sells, merges, consolidates or reorganizes, where the equity owners of the Company own less than 50% of the voting shares post acquisition, then all the outstanding Notes, at the option of the Note holders, either (a) become immediately due and payable, or (b) convert into a number of shares of Common Stock rounded to the nearest whole share, obtained by dividing the outstanding balance of the convertible promissory notes by the consideration received per share by holders of Common stock in the acquisition.</w:t>
      </w:r>
    </w:p>
    <w:p>
      <w:pPr>
        <w:spacing w:after="0" w:line="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the June Note is convertible into Preferred Stock automatically upon our closing of a Preferred Stock financing of at least $5.0 million, or into Common Stock upon the closing of an initial public offering. The conversion price of the June Note is 80% of the sales price of the Preferred Stock or 80% of the price at which our Common Stock is offered to the public in an initial public offering.</w:t>
      </w:r>
    </w:p>
    <w:p>
      <w:pPr>
        <w:spacing w:after="0" w:line="7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As of December 31, 2016 and June 30, 2017, accrued interest on related party convertible promissory notes was $2 thousand and $28 thousand, respectively.</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related to the related party convertible promissory notes was $2 thousand, $0 and $26 thousand for the year ended December 31, 2016, and the six months ended June 30, 2016 and 2017, respectively.</w:t>
      </w:r>
    </w:p>
    <w:p>
      <w:pPr>
        <w:spacing w:after="0" w:line="6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August 8, 2017, the related party convertible promissory notes plus accrued interest, were converted into Preferred Stock, which was the result of the sale of Preferred Stock for aggregate proceeds of $7.0 million (Note 13).</w:t>
      </w:r>
    </w:p>
    <w:p>
      <w:pPr>
        <w:spacing w:after="0" w:line="193"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Contracts and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In May 2016, the Company signed an operating lease for laboratory and office space that commenced in June 2016 and expires on October 31, 2017 (the “2016 Lease”). In June 2016, the Company entered into a lease amendment (the “First Amendment to the 2016 Lease”) for office and laboratory space currently occupied under the 2016 Lease. The First Amendment to the 2016 Lease did not change the Company’s overall obligation under the lease, but did change the timing of the payment of the obligation from one single payment to 17 equal monthly installments. On February 27, 2017, the Company entered into the second amendment to the lease (the “Second Amendment to the 2016 Lease”), which extended the expiration date of the lease to October 31, 2018.</w:t>
      </w:r>
    </w:p>
    <w:p>
      <w:pPr>
        <w:spacing w:after="0" w:line="5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June 30, 2017, future minimum operating lease payments and future minimum payments to be received from under non-cancelable subleases were as follows (in thousands):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Operating Leases</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(remainder of year)</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102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Future minimum operating lease payments</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157</w:t>
            </w: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4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lease payments, net</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129</w:t>
            </w:r>
          </w:p>
        </w:tc>
        <w:tc>
          <w:tcPr>
            <w:tcW w:w="100" w:type="dxa"/>
            <w:vAlign w:val="bottom"/>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recorded $54 thousand, $12 and $38 thousand in rent expense for the year ended December 31, 2016 and the six months ended June 30, 2016 and 2017,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to C-Corporation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31, 2017, the Company converted from an LLC to a C-Corporation. Upon the conversion, the preferred units and the common units were converted on a one-for-one basis into preferred stock and common stock, respectively. After the conversion, the Company had authorized 100,000 shares of Preferred Stock, $0.00001 par value per share, of which 179,613 shares were issued and outstanding and 10,000,000 authorized shares of common stock, par value $0.00001 per share, of which 3,490,884 shares were issued and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 of June 30, 2017, the authorized capital stock of the Company included 10,000,000 shares of common stock, par value $0.00001 per share, 3,490,884 shares issued and outstanding and 100,000 shares of Preferred Stock par value $0.00001 per share, of which, 179,613 shares were issued and outstanding.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the Company was an LLC and had issued 179,613 preferred units and 3,490,884 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Units and Preferred Stock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15, 2016, the Company authorized 100 Member Units and issued 450 member units for aggregate proceeds of $100 thousand. On September 30, 2016, the Company converted all of the Member Units into 12,771 Preferred Units at an issue price of $7.83 (the “Original Issue Price”) per share plus 3,490,884 Common Units, and issued an additional 96,345 Preferred Units at the Original Issue Price for aggregate proceeds of $754 thousand. On December 27, 2016, the Company issued an additional 70,497 Preferred Units at the Original Issue Price for aggregate proceeds of $552 thousand. On March 31, 2017, all of the Preferred Units were converted into Preferred Stock on a one-for-one basis. As of December 31, 2016 and June 30, 2017, the Company had balances of Preferred Units and Preferred Stock of $1.4 million and $1.4 million, respectively.</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Preferred Stock consisted of the following: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Each share of Preferred Stock shall be convertible at the option of the holder at any point in time into fully paid and non-assessable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Upon conversion, the Preferred Stock would be fully settled. Each share of Preferred Stock was convertible into that number of shares of common stock as determined by dividing the Original Issue Price of such share by the applicable conversion price. As of December 31, 2016, the conversion rate was 1:1, but was subject to future adjustments to the conversion price upon the occurrence of certain events including: (i) certain issuances of common stock at a price less than the conversion price in effect on the date of such issuance; and (ii) future stock splits, subdivisions, or combinations of outstanding common stock.</w:t>
      </w:r>
    </w:p>
    <w:p>
      <w:pPr>
        <w:spacing w:after="0" w:line="8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share of Preferred Stock shall automatically be converted into shares of common stock at the conversion price at the time in effect for such series of preferred upon the earlier of: (i) a qualified public offering, as defined in the Certificate of Incorporation; or (ii) the majority vote of the holders of Preferred Stock on a per share and as-converted to common stock basis.</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Preferred Stock are entitled to one vote for each share of Preferred Stock held at all meetings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written actions in lieu of meetings. The Board of Directors shall be elected by vote of the Common Stock and the Preferred Stock voting together as a single class on an as-converted basis.</w:t>
      </w:r>
    </w:p>
    <w:p>
      <w:pPr>
        <w:spacing w:after="0" w:line="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the Preferred Stock are entitled to receive dividends, if and when declared by the Board of Directors, and all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paid pro rata on the Common Stock and the Preferred Stock, without preference, based on the number of shares of the Common Stock of the holders. From inception through June 30, 2017, no dividends have been declared or paid by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In the event of any liquidation, dissolution, winding up, consolidation or merger of the Company, the holders of the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shall be entitled to receive out of the assets of the Company, prior and in preference to any distribution to the holders of Common Stock, an amount equal to the Original Issue Price per share, plus all declared and unpaid dividends.</w:t>
      </w:r>
    </w:p>
    <w:p>
      <w:pPr>
        <w:spacing w:after="0" w:line="7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Preferred Units have the same rights, preferences and privileges as the Preferred Stock with the exception of conversion rights or liquidation preferences in the event of a merger or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and Common Stock</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September 30, 2016, in connection with the conversion of the Member Units into Preferred Units, the Company also issued 3,490,884 Common Units. On March 31, 2017, in connection with the conversion of the LLC to a C-Corporation, all of the Common Units were converted, on a one-for-one basis, into common stock.</w:t>
      </w:r>
    </w:p>
    <w:p>
      <w:pPr>
        <w:spacing w:after="0" w:line="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privileges of the holders of the preferred stock and are as follows:</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common stock are entitled to one vote for each share of Common Stock held at all meetings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written actions in lieu of meetings. The Board of Directors shall be elected by vote of the Common Stock and the Preferred Stock voting together as a single class on an as-converted basis.</w:t>
      </w:r>
    </w:p>
    <w:p>
      <w:pPr>
        <w:spacing w:after="0" w:line="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the common stock are entitled to receive dividends, if and when declared by the Board of Directors, and all dividends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pro rata on the common stock and the preferred stock, without preference, based on the number of shares of the common stock of the holders. From inception through June 30, 2017, no dividends have been declared or paid by the Company.</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After payment to the holders of shares of preferred stock of their liquidation preferences, the holders of the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the Company’s assets available for distribution to stockholders, in the event of any voluntary or involuntary liquidation, dissolution, winding up, consolidation or merger of the Company or upon the occurrence of a deemed liquidation event.</w:t>
      </w:r>
    </w:p>
    <w:p>
      <w:pPr>
        <w:spacing w:after="0" w:line="204"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Supply Agreement</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December 2016, the Company entered into a product manufacturing and clinical supply agreement with a Contract Manufacturing Organization (the “CMO”). The product manufacturing and clinical supply agreement provides the terms and conditions under which the CMO will formulate, fill, inspect, package, label and test our lead product, KB103 for clinical supply. The Company is obligated to pay the CMO for each batch of KB103 manufactured. Additionally, certain raw material and supplies and outsourced testing and other services for the purposes of batch production will be invoiced separately by the CMO. The estimated remaining commitment under this agreement for the manufacturing of drug product is approximately $2.0 million. The Company is also responsible for the payment of a monthly service fee for project management services for the duration of the arrangement. The Company has incurred expenses under this agreement of $11 thousand, $0 and $159 thousand for the year ended December 31, 2016 and the six months ended June 30, 2016 and 2017 respectively.</w:t>
      </w:r>
    </w:p>
    <w:p>
      <w:pPr>
        <w:spacing w:after="0" w:line="21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October 1, 2016, the Board of Managers adopted the 2016 Equity Incentive Plan (the “2016 Plan”), which authorizes the issuance of up to 189,472 incentive units to purchase common units.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2016 Plan provides for the issuance of incentive units to employees, members of the Board of Managers, and consultants of the Company. The incentive units generally expire ten years following the date of grant. The incentive units typically vest over a period of four years, but vesting provisions can vary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by award based on the discretion of the Board of Managers. Incentive units to purchase common units carry an exercise price equal to the estimated fair value of the Company’s common units on the date of grant. Generally incentive units to purchase common units of the Company are exercised by payment of the exercise price in cash. Upon the termination of service, except by death or disability, of a holder of incentive units awarded under the 2016 Plan, all unvested units are forfeited and vested incentive units may be exercised within three months of termination by the holder. Common units issued as a result of awards under the 2016 Plan may be subject to repurchase provisions as designated in each individual award agreement.</w:t>
      </w:r>
    </w:p>
    <w:p>
      <w:pPr>
        <w:spacing w:after="0" w:line="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31, 2017, the Board of Directors adopted the 2017 Stock Incentive Plan (the “2017 Plan”) which authorized the issuance of up to 193,050 shares of the Company’s common stock under the plan. Commensurate with the opening of the 2017 Plan, all 113,683 outstanding incentive units granted under the 2016 Plan were converted into 113,683 options to purchase the Company’s common stock under the 2017 Plan. Commensurate with the adoption of the 2017 Plan, the 2016 Plan was closed and there were no incentive units outstanding.</w:t>
      </w:r>
    </w:p>
    <w:p>
      <w:pPr>
        <w:spacing w:after="0" w:line="7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2017 Plan provides for the issuance of stock options, restricted stock awards and unrestricted stock awards to employees, members of the Board of Directors, and consultants of the Company. The Company has not granted restricted or unrestricted stock awards under the 2017 Plan since its inception. Options generally expire ten years following the date of grant. Options typically vest over a period of four years, but vesting provisions can vary by award based on the discretion of the Board of Directors.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2017 Plan, all unvested options are forfeited and vested options may be exercised within three months of termination by the holder. Shares of common stock issued as a result of awards under the 2017 Plan may be subject to repurchase provisions as designated in each individual award agreement.</w:t>
      </w:r>
    </w:p>
    <w:p>
      <w:pPr>
        <w:spacing w:after="0" w:line="7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Shares of common stock underlying awards previously issued under the 2017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2017 Plan. Shares available for issuance under the 2017 Plan may be authorized but unissued shares of the Company’s common stock or common stock reacquired by the Company and held in treasury. The 2017 Plan expires in March 31, 2027, 10 years from the date it was approved by the Board of Directors.</w:t>
      </w:r>
    </w:p>
    <w:p>
      <w:pPr>
        <w:spacing w:after="0" w:line="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granted 142,105 and 45,949 stock options through December 31, 2016 and during the six months ended June 30, 2017, respectively, to employees, consultants and board members, which are included in the following table. The options generally vest over a four-year period, and have a life of ten years. Stock options issued to non-employees are accounted for using the fair value method of accounting, and are periodically revalued as the options vest, and are recognized as expense over the related service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2016 Plan: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Life (Years)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142,105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2.46</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Cancelled or forfeited</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142,105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Granted (unaudited)</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45,949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5.07</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 (unaudited)</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Cancelled or forfeited (unaudited)</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(28,421)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2.46</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159,633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3.21</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891</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2016</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2017 (unaudited)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3"/>
              </w:rPr>
              <w:t>18,945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7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2017 (unaudited)</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18,945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2.46</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aggregate intrinsic value is calculated as the difference between the exercise price of the underlying options and the estimated fair value of the common stock for the options that were in the money at December 31, 2016 and June 30, 2017 (unaudited).</w:t>
      </w:r>
    </w:p>
    <w:p>
      <w:pPr>
        <w:spacing w:after="0" w:line="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As of December 31, 2016 and June 30, 2017, 47,367 and 33,417 shares of common stock, respectively, were available for future grants under the Plan. The weighted-average grant date fair value of options granted to employees and non-employees during the year ended December 31, 2016 was $1.73. There were 45,949 options granted to employees and a board member during the six months ended June 30, 2017. The weighted-average grant date fair value of options granted to employees during the six months ended June 30, 2017 was $6.77. There were no options granted to non-employees during the six months ended June 30, 2017. During the year ended December 31, 2016 and the six months ended June 30, 2017, there were no stock options exercised.</w:t>
      </w:r>
    </w:p>
    <w:p>
      <w:pPr>
        <w:spacing w:after="0" w:line="5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Stock-based compensation expense for the year ended December 31, 2016 and the six months ended June 30, 2016 and 2017 relates solely to stock options granted under the Plan. The Company has recorded aggregate stock-based compensation expense related to the issuance of stock option awards to non-employees in the statement of operations for the year ended December 31, 2016 and six months ended June 30, 2016 and 2017 as follows (in thousands):</w:t>
      </w:r>
    </w:p>
    <w:p>
      <w:pPr>
        <w:spacing w:after="0" w:line="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80" w:type="dxa"/>
            <w:vAlign w:val="bottom"/>
            <w:gridSpan w:val="3"/>
          </w:tcPr>
          <w:p>
            <w:pPr>
              <w:ind w:left="720"/>
              <w:spacing w:after="0"/>
              <w:rPr>
                <w:sz w:val="20"/>
                <w:szCs w:val="20"/>
                <w:color w:val="auto"/>
              </w:rPr>
            </w:pPr>
            <w:r>
              <w:rPr>
                <w:rFonts w:ascii="Arial" w:cs="Arial" w:eastAsia="Arial" w:hAnsi="Arial"/>
                <w:sz w:val="14"/>
                <w:szCs w:val="14"/>
                <w:b w:val="1"/>
                <w:bCs w:val="1"/>
                <w:color w:val="auto"/>
                <w:w w:val="90"/>
              </w:rPr>
              <w:t>December 31, 2016</w:t>
            </w:r>
          </w:p>
        </w:tc>
        <w:tc>
          <w:tcPr>
            <w:tcW w:w="18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0"/>
              </w:rPr>
              <w:t>June 30, 2016</w:t>
            </w:r>
          </w:p>
        </w:tc>
        <w:tc>
          <w:tcPr>
            <w:tcW w:w="19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6"/>
              </w:rPr>
              <w:t>June 30, 2017</w:t>
            </w: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02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F-20</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Stock Options Granted to Employees. </w:t>
      </w:r>
      <w:r>
        <w:rPr>
          <w:rFonts w:ascii="Arial" w:cs="Arial" w:eastAsia="Arial" w:hAnsi="Arial"/>
          <w:sz w:val="18"/>
          <w:szCs w:val="18"/>
          <w:color w:val="auto"/>
        </w:rPr>
        <w:t>For the year ended December 31, 2016 and the six months June 30, 2016 and 2017, the Company recorded $3</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$0 and $31 thousand,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2016 and the six months ended June 30, 2017:</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5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r>
      <w:tr>
        <w:trPr>
          <w:trHeight w:val="142"/>
        </w:trPr>
        <w:tc>
          <w:tcPr>
            <w:tcW w:w="4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Expected term of the award (years)</w:t>
            </w: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6.25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Exercise price</w:t>
            </w:r>
          </w:p>
        </w:tc>
        <w:tc>
          <w:tcPr>
            <w:tcW w:w="22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2.46</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r>
    </w:tbl>
    <w:p>
      <w:pPr>
        <w:spacing w:after="0" w:line="7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There was $95 thousand and $569 thousand of unrecognized stock-based compensation expense related to employees’ awards that is expected to be recognized over a weighted-average period of 4 years and 3.4 years as of December 31, 2016 and June 30, 2017, respectively.</w:t>
      </w:r>
    </w:p>
    <w:p>
      <w:pPr>
        <w:spacing w:after="0" w:line="3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Stock Options Granted to Non-Employees. </w:t>
      </w:r>
      <w:r>
        <w:rPr>
          <w:rFonts w:ascii="Arial" w:cs="Arial" w:eastAsia="Arial" w:hAnsi="Arial"/>
          <w:sz w:val="18"/>
          <w:szCs w:val="18"/>
          <w:color w:val="auto"/>
        </w:rPr>
        <w:t>Stock-based compensation expense related to stock options granted to non-employees is recognized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are earned. The Company believes that the estimated fair value of the stock options is more readily measurable than the fair value of the services rendered. For the year ended December 31, 2016 and the six months ended June 30, 2016 and 2017, the Company recorded $30 thousand, $0 and $103 thousand, respectively, of stock-based compensation expense related to non-employees’ stock options, which is included in research and development expense in the statements of operations.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used the following weighted-average assumptions in estimating non-employees stock-based compensation expense:</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r>
      <w:tr>
        <w:trPr>
          <w:trHeight w:val="142"/>
        </w:trPr>
        <w:tc>
          <w:tcPr>
            <w:tcW w:w="8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Expected time to maturity (years)</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Exercise price</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to non-employees in the six months ended June 30, 2017.</w:t>
      </w:r>
    </w:p>
    <w:p>
      <w:pPr>
        <w:spacing w:after="0" w:line="248"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inception through December 31, 2016, the Company was a California LLC for federal and state income tax purposes, and therefore, all items of income or loss through December 31, 2016 flowed through to the members of the LLC. Effective January 1, 2017,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Effective upon the conversion to a C-corporation, the Company became subject to income tax at the federal and state levels. Accordingly, as of June 30, 2017, the Company recorded a deferred tax asset for federal and state income taxes, which consists primarily of NOL carryforwards and a research &amp; development credit, as defined by the Internal Revenue Service.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did not record a current or deferred income tax expense or benefit for the year ended December 31, 2016 and the six months ended June 30, 2017. Since the Company was an LLC for the year ended December 31, 2016, the Company was not subject to federal income tax. A reconciliation of income tax expense (benefit) computed at the statutory federal income tax rate of 40 percent for the year to income tax expense (benefit) as reflected in the financial statements for the six months ended June 30, 2017 is as follows: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income tax expense (benefit)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non-deductible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Research &amp; development credit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 tax expense (benefit)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components of the Company’s deferred tax assets for the six months ended June 30, 2017 are as follows: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016"/>
        <w:spacing w:after="0"/>
        <w:rPr>
          <w:sz w:val="20"/>
          <w:szCs w:val="20"/>
          <w:color w:val="auto"/>
        </w:rPr>
      </w:pPr>
      <w:r>
        <w:rPr>
          <w:rFonts w:ascii="Arial" w:cs="Arial" w:eastAsia="Arial" w:hAnsi="Arial"/>
          <w:sz w:val="12"/>
          <w:szCs w:val="12"/>
          <w:b w:val="1"/>
          <w:bCs w:val="1"/>
          <w:u w:val="single" w:color="auto"/>
          <w:color w:val="auto"/>
        </w:rPr>
        <w:t>June 30, 2017</w:t>
      </w:r>
    </w:p>
    <w:p>
      <w:pPr>
        <w:spacing w:after="0" w:line="36" w:lineRule="exact"/>
        <w:rPr>
          <w:sz w:val="20"/>
          <w:szCs w:val="20"/>
          <w:color w:val="auto"/>
        </w:rPr>
      </w:pPr>
    </w:p>
    <w:p>
      <w:pPr>
        <w:jc w:val="center"/>
        <w:ind w:right="1016"/>
        <w:spacing w:after="0"/>
        <w:rPr>
          <w:sz w:val="20"/>
          <w:szCs w:val="20"/>
          <w:color w:val="auto"/>
        </w:rPr>
      </w:pPr>
      <w:r>
        <w:rPr>
          <w:rFonts w:ascii="Arial" w:cs="Arial" w:eastAsia="Arial" w:hAnsi="Arial"/>
          <w:sz w:val="14"/>
          <w:szCs w:val="14"/>
          <w:b w:val="1"/>
          <w:bCs w:val="1"/>
          <w:color w:val="auto"/>
        </w:rPr>
        <w:t>(unaudited)</w:t>
      </w:r>
    </w:p>
    <w:p>
      <w:pPr>
        <w:ind w:left="504" w:hanging="504"/>
        <w:spacing w:after="0"/>
        <w:tabs>
          <w:tab w:leader="none" w:pos="5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(501)</w:t>
      </w:r>
    </w:p>
    <w:p>
      <w:pPr>
        <w:spacing w:after="0" w:line="18" w:lineRule="exact"/>
        <w:rPr>
          <w:rFonts w:ascii="Arial" w:cs="Arial" w:eastAsia="Arial" w:hAnsi="Arial"/>
          <w:sz w:val="17"/>
          <w:szCs w:val="17"/>
          <w:color w:val="auto"/>
        </w:rPr>
      </w:pPr>
    </w:p>
    <w:p>
      <w:pPr>
        <w:ind w:left="564"/>
        <w:spacing w:after="0"/>
        <w:rPr>
          <w:rFonts w:ascii="Arial" w:cs="Arial" w:eastAsia="Arial" w:hAnsi="Arial"/>
          <w:sz w:val="17"/>
          <w:szCs w:val="17"/>
          <w:color w:val="auto"/>
        </w:rPr>
      </w:pPr>
      <w:r>
        <w:rPr>
          <w:rFonts w:ascii="Arial" w:cs="Arial" w:eastAsia="Arial" w:hAnsi="Arial"/>
          <w:sz w:val="18"/>
          <w:szCs w:val="18"/>
          <w:color w:val="auto"/>
        </w:rPr>
        <w:t>515</w:t>
      </w:r>
    </w:p>
    <w:p>
      <w:pPr>
        <w:spacing w:after="0" w:line="9" w:lineRule="exact"/>
        <w:rPr>
          <w:rFonts w:ascii="Arial" w:cs="Arial" w:eastAsia="Arial" w:hAnsi="Arial"/>
          <w:sz w:val="17"/>
          <w:szCs w:val="17"/>
          <w:color w:val="auto"/>
        </w:rPr>
      </w:pPr>
    </w:p>
    <w:p>
      <w:pPr>
        <w:ind w:left="744"/>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9" w:lineRule="exact"/>
        <w:rPr>
          <w:rFonts w:ascii="Arial" w:cs="Arial" w:eastAsia="Arial" w:hAnsi="Arial"/>
          <w:sz w:val="17"/>
          <w:szCs w:val="17"/>
          <w:color w:val="auto"/>
        </w:rPr>
      </w:pPr>
    </w:p>
    <w:p>
      <w:pPr>
        <w:ind w:left="604"/>
        <w:spacing w:after="0"/>
        <w:rPr>
          <w:rFonts w:ascii="Arial" w:cs="Arial" w:eastAsia="Arial" w:hAnsi="Arial"/>
          <w:sz w:val="17"/>
          <w:szCs w:val="17"/>
          <w:color w:val="auto"/>
        </w:rPr>
      </w:pPr>
      <w:r>
        <w:rPr>
          <w:rFonts w:ascii="Arial" w:cs="Arial" w:eastAsia="Arial" w:hAnsi="Arial"/>
          <w:sz w:val="16"/>
          <w:szCs w:val="16"/>
          <w:color w:val="auto"/>
        </w:rPr>
        <w:t>(20)</w:t>
      </w:r>
    </w:p>
    <w:p>
      <w:pPr>
        <w:spacing w:after="0" w:line="32" w:lineRule="exact"/>
        <w:rPr>
          <w:rFonts w:ascii="Arial" w:cs="Arial" w:eastAsia="Arial" w:hAnsi="Arial"/>
          <w:sz w:val="17"/>
          <w:szCs w:val="17"/>
          <w:color w:val="auto"/>
        </w:rPr>
      </w:pPr>
    </w:p>
    <w:p>
      <w:pPr>
        <w:ind w:left="564"/>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ind w:left="564" w:hanging="564"/>
        <w:spacing w:after="0"/>
        <w:tabs>
          <w:tab w:leader="none" w:pos="5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314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2">
            <w:col w:w="9140" w:space="416"/>
            <w:col w:w="1864"/>
          </w:cols>
          <w:pgMar w:left="240" w:top="460" w:right="239" w:bottom="1440" w:gutter="0" w:footer="0" w:header="0"/>
          <w:type w:val="continuous"/>
        </w:sect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June 30, 2017</w:t>
            </w:r>
          </w:p>
        </w:tc>
      </w:tr>
      <w:tr>
        <w:trPr>
          <w:trHeight w:val="142"/>
        </w:trPr>
        <w:tc>
          <w:tcPr>
            <w:tcW w:w="5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340" w:type="dxa"/>
            <w:vAlign w:val="bottom"/>
            <w:gridSpan w:val="2"/>
          </w:tcPr>
          <w:p>
            <w:pPr>
              <w:ind w:left="30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option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Research &amp; development credit</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Accrued bonus</w:t>
            </w:r>
          </w:p>
        </w:tc>
        <w:tc>
          <w:tcPr>
            <w:tcW w:w="3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7"/>
        </w:trPr>
        <w:tc>
          <w:tcPr>
            <w:tcW w:w="5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340" w:type="dxa"/>
            <w:vAlign w:val="bottom"/>
            <w:gridSpan w:val="2"/>
            <w:shd w:val="clear" w:color="auto" w:fill="CCEEFF"/>
          </w:tcPr>
          <w:p>
            <w:pPr>
              <w:ind w:left="30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June 30, 2017.</w:t>
      </w:r>
    </w:p>
    <w:p>
      <w:pPr>
        <w:spacing w:after="0" w:line="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December 31, 2016, the Company had U.S. federal NOL carryforwards of approximately $0 as the company was a flow-through entity. As of June 30, 2017, the Company had U.S. federal NOL carryforwards of approximately $1.1 million which may be available to offset future income tax liabilities and expire at various dates through 2037.</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5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files income tax returns in the United States at the federal level and in states in which the Company conducts business activities. The federal and state income tax returns are generally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tax examinations for the tax year ended December 31, 2016.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47"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2016 and June 30, 2017, the Company had balances of $698 thousand and $1.7 million, respectively, in related party convertible promissory notes. The details of the related parties are fully disclosed in Note 6.</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Additionally, as of December 31, 2016 and June 30, 2017, the Company had outstanding balances of $1.4 million and $0 of Preferred Units, which were all held by the Chief Executive Officer and Chief Operating Officer of the Company. As of December 31, 2016 and June 30, 2017, the Company had outstanding balances of Preferred Stock of $0 and $1.4 million, respectively, which were all held by the Chief Executive Officer and Chief Operating Officer of the Company. The details of Preferred Units and the Preferred Stock are fully disclosed in Note 8.</w:t>
      </w:r>
    </w:p>
    <w:p>
      <w:pPr>
        <w:spacing w:after="0" w:line="194"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For its financial statements as of December 31, 2016 and for the year then ended, the Company has completed an evaluation of all subsequent events through September 6, 2017, the date these financial statements were available to be issued, to ensure that the financial statements include appropriate disclosure of events both recognized in the financial statements as of December 31, 2016, and events which occurred subsequently but were not recognized in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Preferred Stock and Conversion of Convertible Promissory Notes and Related Party Convertible Promissory Notes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August 4, 2017, the Company amended its articles of incorporation changing the authorized capital stock of the Company to include 1,500,000 shares of common stock, par value $0.00001 per share and 1,500,000 shares of Preferred Stock, par value $0.00001 per share, of which, 179,613 shares were designated as Series Seed Preferred Stock (the “Series Seed”) (see Note 8), 210,000 shares were designated as Series A Preferred Shares (the “Series A”), 200,000 shares were designated as Series A-1 Preferred Shares (the “Series A-1”) and 30,000 shares were designated as Series A-2 Preferred Shares (the “Series A-2”) shares. The Series Seed, Series A-1 and Series A-2 shares are collectively known as the Preferred Stock.</w:t>
      </w:r>
    </w:p>
    <w:p>
      <w:pPr>
        <w:spacing w:after="0" w:line="5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August 8, 2017, the Company issued 914,107 shares Series A at $7.66 per share for aggregate proceeds of approximately $7.0 million to a single investor. Commensurate with the issuance of the Series A shares and in accordance with the conversion features of the Notes (Note 5), the Notes plus accrued interest were automatically converted into Preferred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outlines the mandatory conversion on August 8, 2017 of the Notes into Preferred Stock (in thousands except share and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Loss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Extinguishment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Shares of</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375"/>
              <w:spacing w:after="0" w:line="149" w:lineRule="exact"/>
              <w:rPr>
                <w:sz w:val="20"/>
                <w:szCs w:val="20"/>
                <w:color w:val="auto"/>
              </w:rPr>
            </w:pPr>
            <w:r>
              <w:rPr>
                <w:rFonts w:ascii="Arial" w:cs="Arial" w:eastAsia="Arial" w:hAnsi="Arial"/>
                <w:sz w:val="14"/>
                <w:szCs w:val="14"/>
                <w:b w:val="1"/>
                <w:bCs w:val="1"/>
                <w:color w:val="auto"/>
                <w:w w:val="95"/>
              </w:rPr>
              <w:t>Price Per</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Series A-</w:t>
            </w:r>
          </w:p>
        </w:tc>
        <w:tc>
          <w:tcPr>
            <w:tcW w:w="2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Date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Promissory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15"/>
              <w:spacing w:after="0"/>
              <w:rPr>
                <w:sz w:val="20"/>
                <w:szCs w:val="20"/>
                <w:color w:val="auto"/>
              </w:rPr>
            </w:pPr>
            <w:r>
              <w:rPr>
                <w:rFonts w:ascii="Arial" w:cs="Arial" w:eastAsia="Arial" w:hAnsi="Arial"/>
                <w:sz w:val="14"/>
                <w:szCs w:val="14"/>
                <w:b w:val="1"/>
                <w:bCs w:val="1"/>
                <w:color w:val="auto"/>
                <w:w w:val="87"/>
              </w:rPr>
              <w:t>Share</w:t>
            </w:r>
            <w:r>
              <w:rPr>
                <w:rFonts w:ascii="Arial" w:cs="Arial" w:eastAsia="Arial" w:hAnsi="Arial"/>
                <w:sz w:val="11"/>
                <w:szCs w:val="11"/>
                <w:b w:val="1"/>
                <w:bCs w:val="1"/>
                <w:color w:val="auto"/>
                <w:w w:val="87"/>
              </w:rPr>
              <w:t>(1)</w:t>
            </w:r>
          </w:p>
        </w:tc>
        <w:tc>
          <w:tcPr>
            <w:tcW w:w="540" w:type="dxa"/>
            <w:vAlign w:val="bottom"/>
          </w:tcPr>
          <w:p>
            <w:pPr>
              <w:jc w:val="right"/>
              <w:ind w:right="176"/>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Series A-2</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Conversion</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Series A-1</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9"/>
              </w:rPr>
              <w:t>Series A-2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Convertible promissory notes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3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u w:val="single" w:color="auto"/>
                <w:color w:val="auto"/>
                <w:w w:val="87"/>
              </w:rPr>
              <w:t>$</w:t>
            </w:r>
            <w:r>
              <w:rPr>
                <w:rFonts w:ascii="Arial" w:cs="Arial" w:eastAsia="Arial" w:hAnsi="Arial"/>
                <w:sz w:val="15"/>
                <w:szCs w:val="15"/>
                <w:color w:val="auto"/>
                <w:w w:val="87"/>
              </w:rPr>
              <w:t>2,516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4.14</w:t>
            </w:r>
          </w:p>
        </w:tc>
        <w:tc>
          <w:tcPr>
            <w:tcW w:w="380" w:type="dxa"/>
            <w:vAlign w:val="bottom"/>
            <w:tcBorders>
              <w:top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7"/>
              </w:rPr>
              <w:t>(1)</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607,743</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7.66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4,654</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60"/>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(2,138)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33" w:lineRule="exact"/>
              <w:rPr>
                <w:sz w:val="20"/>
                <w:szCs w:val="20"/>
                <w:color w:val="auto"/>
              </w:rPr>
            </w:pPr>
            <w:r>
              <w:rPr>
                <w:rFonts w:ascii="Arial" w:cs="Arial" w:eastAsia="Arial" w:hAnsi="Arial"/>
                <w:sz w:val="3"/>
                <w:szCs w:val="3"/>
                <w:color w:val="auto"/>
              </w:rPr>
              <w:t>Related party convertible promissory notes</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ind w:left="100"/>
              <w:spacing w:after="0" w:line="33" w:lineRule="exact"/>
              <w:rPr>
                <w:sz w:val="20"/>
                <w:szCs w:val="20"/>
                <w:color w:val="auto"/>
              </w:rPr>
            </w:pPr>
            <w:r>
              <w:rPr>
                <w:rFonts w:ascii="Arial" w:cs="Arial" w:eastAsia="Arial" w:hAnsi="Arial"/>
                <w:sz w:val="3"/>
                <w:szCs w:val="3"/>
                <w:color w:val="auto"/>
              </w:rPr>
              <w:t>$</w:t>
            </w:r>
          </w:p>
        </w:tc>
        <w:tc>
          <w:tcPr>
            <w:tcW w:w="960" w:type="dxa"/>
            <w:vAlign w:val="bottom"/>
            <w:gridSpan w:val="2"/>
            <w:vMerge w:val="restart"/>
          </w:tcPr>
          <w:p>
            <w:pPr>
              <w:jc w:val="right"/>
              <w:ind w:right="315"/>
              <w:spacing w:after="0" w:line="33" w:lineRule="exact"/>
              <w:rPr>
                <w:sz w:val="20"/>
                <w:szCs w:val="20"/>
                <w:color w:val="auto"/>
              </w:rPr>
            </w:pPr>
            <w:r>
              <w:rPr>
                <w:rFonts w:ascii="Arial" w:cs="Arial" w:eastAsia="Arial" w:hAnsi="Arial"/>
                <w:sz w:val="3"/>
                <w:szCs w:val="3"/>
                <w:color w:val="auto"/>
              </w:rPr>
              <w:t>4.14</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33" w:lineRule="exact"/>
              <w:rPr>
                <w:sz w:val="20"/>
                <w:szCs w:val="20"/>
                <w:color w:val="auto"/>
              </w:rPr>
            </w:pPr>
            <w:r>
              <w:rPr>
                <w:rFonts w:ascii="Arial" w:cs="Arial" w:eastAsia="Arial" w:hAnsi="Arial"/>
                <w:sz w:val="3"/>
                <w:szCs w:val="3"/>
                <w:color w:val="auto"/>
              </w:rPr>
              <w:t>$</w:t>
            </w:r>
          </w:p>
        </w:tc>
        <w:tc>
          <w:tcPr>
            <w:tcW w:w="680" w:type="dxa"/>
            <w:vAlign w:val="bottom"/>
            <w:gridSpan w:val="2"/>
            <w:vMerge w:val="restart"/>
          </w:tcPr>
          <w:p>
            <w:pPr>
              <w:jc w:val="right"/>
              <w:ind w:right="100"/>
              <w:spacing w:after="0" w:line="33" w:lineRule="exact"/>
              <w:rPr>
                <w:sz w:val="20"/>
                <w:szCs w:val="20"/>
                <w:color w:val="auto"/>
              </w:rPr>
            </w:pPr>
            <w:r>
              <w:rPr>
                <w:rFonts w:ascii="Arial" w:cs="Arial" w:eastAsia="Arial" w:hAnsi="Arial"/>
                <w:sz w:val="3"/>
                <w:szCs w:val="3"/>
                <w:color w:val="auto"/>
              </w:rPr>
              <w:t>7.66</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
        </w:trPr>
        <w:tc>
          <w:tcPr>
            <w:tcW w:w="31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
                <w:szCs w:val="1"/>
                <w:color w:val="auto"/>
              </w:rPr>
              <w:t>948</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
                <w:szCs w:val="1"/>
                <w:color w:val="auto"/>
              </w:rPr>
              <w:t>32</w:t>
            </w:r>
          </w:p>
        </w:tc>
        <w:tc>
          <w:tcPr>
            <w:tcW w:w="660" w:type="dxa"/>
            <w:vAlign w:val="bottom"/>
            <w:gridSpan w:val="3"/>
          </w:tcPr>
          <w:p>
            <w:pPr>
              <w:jc w:val="right"/>
              <w:ind w:right="120"/>
              <w:spacing w:after="0"/>
              <w:rPr>
                <w:sz w:val="20"/>
                <w:szCs w:val="20"/>
                <w:color w:val="auto"/>
              </w:rPr>
            </w:pPr>
            <w:r>
              <w:rPr>
                <w:rFonts w:ascii="Arial" w:cs="Arial" w:eastAsia="Arial" w:hAnsi="Arial"/>
                <w:sz w:val="1"/>
                <w:szCs w:val="1"/>
                <w:color w:val="auto"/>
              </w:rPr>
              <w:t>980</w:t>
            </w:r>
          </w:p>
        </w:tc>
        <w:tc>
          <w:tcPr>
            <w:tcW w:w="180" w:type="dxa"/>
            <w:vAlign w:val="bottom"/>
            <w:gridSpan w:val="2"/>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540" w:type="dxa"/>
            <w:vAlign w:val="bottom"/>
          </w:tcPr>
          <w:p>
            <w:pPr>
              <w:jc w:val="right"/>
              <w:spacing w:after="0"/>
              <w:rPr>
                <w:sz w:val="20"/>
                <w:szCs w:val="20"/>
                <w:color w:val="auto"/>
              </w:rPr>
            </w:pPr>
            <w:r>
              <w:rPr>
                <w:rFonts w:ascii="Arial" w:cs="Arial" w:eastAsia="Arial" w:hAnsi="Arial"/>
                <w:sz w:val="1"/>
                <w:szCs w:val="1"/>
                <w:color w:val="auto"/>
              </w:rPr>
              <w:t>236,619</w:t>
            </w:r>
          </w:p>
        </w:tc>
        <w:tc>
          <w:tcPr>
            <w:tcW w:w="220" w:type="dxa"/>
            <w:vAlign w:val="bottom"/>
          </w:tcPr>
          <w:p>
            <w:pPr>
              <w:spacing w:after="0" w:line="20" w:lineRule="exact"/>
              <w:rPr>
                <w:sz w:val="1"/>
                <w:szCs w:val="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
                <w:szCs w:val="1"/>
                <w:color w:val="auto"/>
              </w:rPr>
              <w:t>—</w:t>
            </w:r>
          </w:p>
        </w:tc>
        <w:tc>
          <w:tcPr>
            <w:tcW w:w="10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
                <w:szCs w:val="1"/>
                <w:color w:val="auto"/>
              </w:rPr>
              <w:t>1,812</w:t>
            </w:r>
          </w:p>
        </w:tc>
        <w:tc>
          <w:tcPr>
            <w:tcW w:w="100" w:type="dxa"/>
            <w:vAlign w:val="bottom"/>
          </w:tcPr>
          <w:p>
            <w:pPr>
              <w:spacing w:after="0" w:line="20" w:lineRule="exact"/>
              <w:rPr>
                <w:sz w:val="1"/>
                <w:szCs w:val="1"/>
                <w:color w:val="auto"/>
              </w:rPr>
            </w:pPr>
          </w:p>
        </w:tc>
        <w:tc>
          <w:tcPr>
            <w:tcW w:w="600" w:type="dxa"/>
            <w:vAlign w:val="bottom"/>
            <w:gridSpan w:val="2"/>
          </w:tcPr>
          <w:p>
            <w:pPr>
              <w:ind w:left="260"/>
              <w:spacing w:after="0"/>
              <w:rPr>
                <w:sz w:val="20"/>
                <w:szCs w:val="20"/>
                <w:color w:val="auto"/>
              </w:rPr>
            </w:pPr>
            <w:r>
              <w:rPr>
                <w:rFonts w:ascii="Arial" w:cs="Arial" w:eastAsia="Arial" w:hAnsi="Arial"/>
                <w:sz w:val="1"/>
                <w:szCs w:val="1"/>
                <w:color w:val="auto"/>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
                <w:szCs w:val="1"/>
                <w:color w:val="auto"/>
              </w:rPr>
              <w:t>(832)</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55"/>
              <w:spacing w:after="0"/>
              <w:rPr>
                <w:sz w:val="20"/>
                <w:szCs w:val="20"/>
                <w:color w:val="auto"/>
              </w:rPr>
            </w:pPr>
            <w:r>
              <w:rPr>
                <w:rFonts w:ascii="Arial" w:cs="Arial" w:eastAsia="Arial" w:hAnsi="Arial"/>
                <w:sz w:val="13"/>
                <w:szCs w:val="13"/>
                <w:color w:val="auto"/>
              </w:rPr>
              <w:t>(1)</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Related party convertible promissory notes—</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750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8</w:t>
            </w:r>
          </w:p>
        </w:tc>
        <w:tc>
          <w:tcPr>
            <w:tcW w:w="660" w:type="dxa"/>
            <w:vAlign w:val="bottom"/>
            <w:gridSpan w:val="3"/>
            <w:vMerge w:val="restart"/>
            <w:shd w:val="clear" w:color="auto" w:fill="CCEEFF"/>
          </w:tcPr>
          <w:p>
            <w:pPr>
              <w:jc w:val="right"/>
              <w:ind w:right="120"/>
              <w:spacing w:after="0" w:line="168" w:lineRule="exact"/>
              <w:rPr>
                <w:sz w:val="20"/>
                <w:szCs w:val="20"/>
                <w:color w:val="auto"/>
              </w:rPr>
            </w:pPr>
            <w:r>
              <w:rPr>
                <w:rFonts w:ascii="Arial" w:cs="Arial" w:eastAsia="Arial" w:hAnsi="Arial"/>
                <w:sz w:val="15"/>
                <w:szCs w:val="15"/>
                <w:color w:val="auto"/>
              </w:rPr>
              <w:t>758</w:t>
            </w:r>
          </w:p>
        </w:tc>
        <w:tc>
          <w:tcPr>
            <w:tcW w:w="180" w:type="dxa"/>
            <w:vAlign w:val="bottom"/>
            <w:gridSpan w:val="2"/>
            <w:vMerge w:val="restart"/>
            <w:shd w:val="clear" w:color="auto" w:fill="CCEEFF"/>
          </w:tcPr>
          <w:p>
            <w:pPr>
              <w:ind w:left="100"/>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315"/>
              <w:spacing w:after="0" w:line="168" w:lineRule="exact"/>
              <w:rPr>
                <w:sz w:val="20"/>
                <w:szCs w:val="20"/>
                <w:color w:val="auto"/>
              </w:rPr>
            </w:pPr>
            <w:r>
              <w:rPr>
                <w:rFonts w:ascii="Arial" w:cs="Arial" w:eastAsia="Arial" w:hAnsi="Arial"/>
                <w:sz w:val="15"/>
                <w:szCs w:val="15"/>
                <w:color w:val="auto"/>
              </w:rPr>
              <w:t>6.13</w:t>
            </w:r>
          </w:p>
        </w:tc>
        <w:tc>
          <w:tcPr>
            <w:tcW w:w="540" w:type="dxa"/>
            <w:vAlign w:val="bottom"/>
            <w:vMerge w:val="restart"/>
            <w:shd w:val="clear" w:color="auto" w:fill="CCEEFF"/>
          </w:tcPr>
          <w:p>
            <w:pPr>
              <w:jc w:val="right"/>
              <w:ind w:right="16"/>
              <w:spacing w:after="0" w:line="168" w:lineRule="exact"/>
              <w:rPr>
                <w:sz w:val="20"/>
                <w:szCs w:val="20"/>
                <w:color w:val="auto"/>
              </w:rPr>
            </w:pPr>
            <w:r>
              <w:rPr>
                <w:rFonts w:ascii="Arial" w:cs="Arial" w:eastAsia="Arial" w:hAnsi="Arial"/>
                <w:sz w:val="15"/>
                <w:szCs w:val="15"/>
                <w:color w:val="auto"/>
              </w:rPr>
              <w:t>—</w:t>
            </w:r>
          </w:p>
        </w:tc>
        <w:tc>
          <w:tcPr>
            <w:tcW w:w="1020" w:type="dxa"/>
            <w:vAlign w:val="bottom"/>
            <w:gridSpan w:val="3"/>
            <w:vMerge w:val="restart"/>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123,691</w:t>
            </w:r>
          </w:p>
        </w:tc>
        <w:tc>
          <w:tcPr>
            <w:tcW w:w="100" w:type="dxa"/>
            <w:vAlign w:val="bottom"/>
            <w:vMerge w:val="restart"/>
            <w:shd w:val="clear" w:color="auto" w:fill="CCEEFF"/>
          </w:tcPr>
          <w:p>
            <w:pPr>
              <w:spacing w:after="0" w:line="168" w:lineRule="exact"/>
              <w:rPr>
                <w:sz w:val="20"/>
                <w:szCs w:val="20"/>
                <w:color w:val="auto"/>
              </w:rPr>
            </w:pPr>
            <w:r>
              <w:rPr>
                <w:rFonts w:ascii="Arial" w:cs="Arial" w:eastAsia="Arial" w:hAnsi="Arial"/>
                <w:sz w:val="15"/>
                <w:szCs w:val="15"/>
                <w:color w:val="auto"/>
                <w:w w:val="95"/>
              </w:rPr>
              <w:t>$</w:t>
            </w:r>
          </w:p>
        </w:tc>
        <w:tc>
          <w:tcPr>
            <w:tcW w:w="680" w:type="dxa"/>
            <w:vAlign w:val="bottom"/>
            <w:gridSpan w:val="2"/>
            <w:vMerge w:val="restart"/>
            <w:shd w:val="clear" w:color="auto" w:fill="CCEEFF"/>
          </w:tcPr>
          <w:p>
            <w:pPr>
              <w:jc w:val="right"/>
              <w:ind w:right="100"/>
              <w:spacing w:after="0" w:line="168" w:lineRule="exact"/>
              <w:rPr>
                <w:sz w:val="20"/>
                <w:szCs w:val="20"/>
                <w:color w:val="auto"/>
              </w:rPr>
            </w:pPr>
            <w:r>
              <w:rPr>
                <w:rFonts w:ascii="Arial" w:cs="Arial" w:eastAsia="Arial" w:hAnsi="Arial"/>
                <w:sz w:val="15"/>
                <w:szCs w:val="15"/>
                <w:color w:val="auto"/>
              </w:rPr>
              <w:t>7.66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300"/>
              <w:spacing w:after="0" w:line="168"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60"/>
              <w:spacing w:after="0" w:line="168" w:lineRule="exact"/>
              <w:rPr>
                <w:sz w:val="20"/>
                <w:szCs w:val="20"/>
                <w:color w:val="auto"/>
              </w:rPr>
            </w:pPr>
            <w:r>
              <w:rPr>
                <w:rFonts w:ascii="Arial" w:cs="Arial" w:eastAsia="Arial" w:hAnsi="Arial"/>
                <w:sz w:val="15"/>
                <w:szCs w:val="15"/>
                <w:color w:val="auto"/>
              </w:rPr>
              <w:t>947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3160" w:type="dxa"/>
            <w:vAlign w:val="bottom"/>
            <w:shd w:val="clear" w:color="auto" w:fill="CCEEFF"/>
          </w:tcPr>
          <w:p>
            <w:pPr>
              <w:ind w:left="140"/>
              <w:spacing w:after="0" w:line="19" w:lineRule="exact"/>
              <w:rPr>
                <w:sz w:val="20"/>
                <w:szCs w:val="20"/>
                <w:color w:val="auto"/>
              </w:rPr>
            </w:pPr>
            <w:r>
              <w:rPr>
                <w:rFonts w:ascii="Arial" w:cs="Arial" w:eastAsia="Arial" w:hAnsi="Arial"/>
                <w:sz w:val="2"/>
                <w:szCs w:val="2"/>
                <w:color w:val="auto"/>
              </w:rPr>
              <w:t>June Note</w:t>
            </w:r>
          </w:p>
        </w:tc>
        <w:tc>
          <w:tcPr>
            <w:tcW w:w="140" w:type="dxa"/>
            <w:vAlign w:val="bottom"/>
            <w:shd w:val="clear" w:color="auto" w:fill="CCEEFF"/>
          </w:tcPr>
          <w:p>
            <w:pPr>
              <w:spacing w:after="0" w:line="20" w:lineRule="exact"/>
              <w:rPr>
                <w:sz w:val="1"/>
                <w:szCs w:val="1"/>
                <w:color w:val="auto"/>
              </w:rPr>
            </w:pPr>
          </w:p>
        </w:tc>
        <w:tc>
          <w:tcPr>
            <w:tcW w:w="52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vMerge w:val="continue"/>
            <w:shd w:val="clear" w:color="auto" w:fill="CCEEFF"/>
          </w:tcPr>
          <w:p>
            <w:pPr>
              <w:spacing w:after="0" w:line="20" w:lineRule="exact"/>
              <w:rPr>
                <w:sz w:val="1"/>
                <w:szCs w:val="1"/>
                <w:color w:val="auto"/>
              </w:rPr>
            </w:pPr>
          </w:p>
        </w:tc>
        <w:tc>
          <w:tcPr>
            <w:tcW w:w="660" w:type="dxa"/>
            <w:vAlign w:val="bottom"/>
            <w:gridSpan w:val="3"/>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960" w:type="dxa"/>
            <w:vAlign w:val="bottom"/>
            <w:gridSpan w:val="2"/>
            <w:vMerge w:val="continue"/>
            <w:shd w:val="clear" w:color="auto" w:fill="CCEEFF"/>
          </w:tcPr>
          <w:p>
            <w:pPr>
              <w:spacing w:after="0" w:line="20" w:lineRule="exact"/>
              <w:rPr>
                <w:sz w:val="1"/>
                <w:szCs w:val="1"/>
                <w:color w:val="auto"/>
              </w:rPr>
            </w:pPr>
          </w:p>
        </w:tc>
        <w:tc>
          <w:tcPr>
            <w:tcW w:w="540" w:type="dxa"/>
            <w:vAlign w:val="bottom"/>
            <w:vMerge w:val="continue"/>
            <w:shd w:val="clear" w:color="auto" w:fill="CCEEFF"/>
          </w:tcPr>
          <w:p>
            <w:pPr>
              <w:spacing w:after="0" w:line="20" w:lineRule="exact"/>
              <w:rPr>
                <w:sz w:val="1"/>
                <w:szCs w:val="1"/>
                <w:color w:val="auto"/>
              </w:rPr>
            </w:pPr>
          </w:p>
        </w:tc>
        <w:tc>
          <w:tcPr>
            <w:tcW w:w="1020" w:type="dxa"/>
            <w:vAlign w:val="bottom"/>
            <w:gridSpan w:val="3"/>
            <w:vMerge w:val="continue"/>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68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(2)</w:t>
            </w: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80" w:type="dxa"/>
            <w:vAlign w:val="bottom"/>
            <w:gridSpan w:val="2"/>
          </w:tcPr>
          <w:p>
            <w:pPr>
              <w:spacing w:after="0" w:line="169" w:lineRule="exact"/>
              <w:rPr>
                <w:sz w:val="20"/>
                <w:szCs w:val="20"/>
                <w:color w:val="auto"/>
              </w:rPr>
            </w:pPr>
            <w:r>
              <w:rPr>
                <w:rFonts w:ascii="Arial" w:cs="Arial" w:eastAsia="Arial" w:hAnsi="Arial"/>
                <w:sz w:val="15"/>
                <w:szCs w:val="15"/>
                <w:color w:val="auto"/>
              </w:rPr>
              <w:t>Total related party promissory notes</w:t>
            </w:r>
          </w:p>
        </w:tc>
        <w:tc>
          <w:tcPr>
            <w:tcW w:w="140" w:type="dxa"/>
            <w:vAlign w:val="bottom"/>
          </w:tcPr>
          <w:p>
            <w:pPr>
              <w:spacing w:after="0"/>
              <w:rPr>
                <w:sz w:val="14"/>
                <w:szCs w:val="14"/>
                <w:color w:val="auto"/>
              </w:rPr>
            </w:pPr>
          </w:p>
        </w:tc>
        <w:tc>
          <w:tcPr>
            <w:tcW w:w="5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1,698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40</w:t>
            </w:r>
          </w:p>
        </w:tc>
        <w:tc>
          <w:tcPr>
            <w:tcW w:w="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w w:val="95"/>
              </w:rPr>
              <w:t>236,619</w:t>
            </w:r>
          </w:p>
        </w:tc>
        <w:tc>
          <w:tcPr>
            <w:tcW w:w="1020" w:type="dxa"/>
            <w:vAlign w:val="bottom"/>
            <w:gridSpan w:val="3"/>
          </w:tcPr>
          <w:p>
            <w:pPr>
              <w:jc w:val="right"/>
              <w:ind w:right="200"/>
              <w:spacing w:after="0" w:line="169" w:lineRule="exact"/>
              <w:rPr>
                <w:sz w:val="20"/>
                <w:szCs w:val="20"/>
                <w:color w:val="auto"/>
              </w:rPr>
            </w:pPr>
            <w:r>
              <w:rPr>
                <w:rFonts w:ascii="Arial" w:cs="Arial" w:eastAsia="Arial" w:hAnsi="Arial"/>
                <w:sz w:val="15"/>
                <w:szCs w:val="15"/>
                <w:color w:val="auto"/>
              </w:rPr>
              <w:t>123,691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1,812</w:t>
            </w:r>
          </w:p>
        </w:tc>
        <w:tc>
          <w:tcPr>
            <w:tcW w:w="100" w:type="dxa"/>
            <w:vAlign w:val="bottom"/>
          </w:tcPr>
          <w:p>
            <w:pPr>
              <w:spacing w:after="0"/>
              <w:rPr>
                <w:sz w:val="14"/>
                <w:szCs w:val="14"/>
                <w:color w:val="auto"/>
              </w:rPr>
            </w:pPr>
          </w:p>
        </w:tc>
        <w:tc>
          <w:tcPr>
            <w:tcW w:w="60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947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Total</w:t>
            </w:r>
          </w:p>
        </w:tc>
        <w:tc>
          <w:tcPr>
            <w:tcW w:w="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4,142</w:t>
            </w:r>
          </w:p>
        </w:tc>
        <w:tc>
          <w:tcPr>
            <w:tcW w:w="28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112</w:t>
            </w: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4,254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844,362</w:t>
            </w:r>
          </w:p>
        </w:tc>
        <w:tc>
          <w:tcPr>
            <w:tcW w:w="102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123,691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6,466</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600" w:type="dxa"/>
            <w:vAlign w:val="bottom"/>
            <w:gridSpan w:val="2"/>
            <w:shd w:val="clear" w:color="auto" w:fill="CCEEFF"/>
          </w:tcPr>
          <w:p>
            <w:pPr>
              <w:ind w:left="260"/>
              <w:spacing w:after="0" w:line="162" w:lineRule="exact"/>
              <w:rPr>
                <w:sz w:val="20"/>
                <w:szCs w:val="20"/>
                <w:color w:val="auto"/>
              </w:rPr>
            </w:pPr>
            <w:r>
              <w:rPr>
                <w:rFonts w:ascii="Arial" w:cs="Arial" w:eastAsia="Arial" w:hAnsi="Arial"/>
                <w:sz w:val="15"/>
                <w:szCs w:val="15"/>
                <w:color w:val="auto"/>
              </w:rPr>
              <w:t>947</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9" w:lineRule="exact"/>
        <w:rPr>
          <w:sz w:val="20"/>
          <w:szCs w:val="20"/>
          <w:color w:val="auto"/>
        </w:rPr>
      </w:pPr>
    </w:p>
    <w:p>
      <w:pPr>
        <w:ind w:left="340" w:right="280" w:hanging="332"/>
        <w:spacing w:after="0" w:line="233" w:lineRule="auto"/>
        <w:tabs>
          <w:tab w:leader="none" w:pos="3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conversion price was determined by dividing the target valuation of $16 million by the outstanding shares of 3,863,547 immediately prior to the issuance of the Series A on August 8, 2017 (Note 5).</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conversion price was determined to be 80% of the $7.66 sales price per share of the Series A shares issued on August 8, 2017 (Note 6).</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August 25, 2017, the Company closed the sale of 130,590 shares of Common Stock with a related party director of the board for aggregate proceeds of $1.0 million.</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September 5, 2017, in connection with the filing of a registration statement for an IPO, the Company’s board of directors approved a 1-to-4.5 forward stock split, in the form of a dividend, of all outstanding shares of common stock and preferred stock, which will occur prior to the effectiveness of the registration statement. Except as otherwise noted, all references to share and per share amounts related to common stock, common units, preferred stock, preferred units and stock options in these financial statements have been restated to reflect the stock split. The stock split has been retroactively applied to the Company’s financial statements included in this document. Additionally, the Company’s board of directors approved for the increase in authorized shares of common stock and preferred stock to 80,000,000 shares and 20,000,000 shares, respectively. The increase in the number of common and preferred shares will occur prior to the effectiveness of the registration statement.</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5, 2015, the Company’s board of directors approved the establishment of the Krystal Biotech, Inc. 2017 IPO Plan (the “2017 IPO Plan”), which will be adopted prior to the effectiveness of the registration statement. Under the 2017 IPO Plan, the Company may grant incentive stock options, non-qualified stock options, stock appreciation rights, dividend equivalent rights, restricted stock, and stock grants to purchase up to 900,000 shares of the Company’s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791845</wp:posOffset>
            </wp:positionV>
            <wp:extent cx="3258820" cy="6261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588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80"/>
        <w:spacing w:after="0"/>
        <w:rPr>
          <w:sz w:val="20"/>
          <w:szCs w:val="20"/>
          <w:color w:val="auto"/>
        </w:rPr>
      </w:pPr>
      <w:r>
        <w:rPr>
          <w:rFonts w:ascii="Arial" w:cs="Arial" w:eastAsia="Arial" w:hAnsi="Arial"/>
          <w:sz w:val="30"/>
          <w:szCs w:val="30"/>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1102360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1196340</wp:posOffset>
            </wp:positionV>
            <wp:extent cx="72466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our common stock being registered. All amounts are estimates except for the Securities and Exchange Commission, or SEC, registration fee, the Financial Industry Regulatory Authority, or FINRA, filing fee and the NASDAQ Capital Market, or NASDAQ, listing fee.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-108585</wp:posOffset>
            </wp:positionV>
            <wp:extent cx="608012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Amount</w:t>
      </w:r>
    </w:p>
    <w:p>
      <w:pPr>
        <w:jc w:val="center"/>
        <w:ind w:right="980"/>
        <w:spacing w:after="0" w:line="226" w:lineRule="auto"/>
        <w:rPr>
          <w:sz w:val="20"/>
          <w:szCs w:val="20"/>
          <w:color w:val="auto"/>
        </w:rPr>
      </w:pPr>
      <w:r>
        <w:rPr>
          <w:rFonts w:ascii="Arial" w:cs="Arial" w:eastAsia="Arial" w:hAnsi="Arial"/>
          <w:sz w:val="14"/>
          <w:szCs w:val="14"/>
          <w:b w:val="1"/>
          <w:bCs w:val="1"/>
          <w:color w:val="auto"/>
        </w:rPr>
        <w:t>Paid or</w:t>
      </w:r>
    </w:p>
    <w:p>
      <w:pPr>
        <w:spacing w:after="0" w:line="1"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to be Paid</w:t>
      </w:r>
    </w:p>
    <w:p>
      <w:pPr>
        <w:spacing w:after="0" w:line="9" w:lineRule="exact"/>
        <w:rPr>
          <w:sz w:val="20"/>
          <w:szCs w:val="20"/>
          <w:color w:val="auto"/>
        </w:rPr>
      </w:pPr>
    </w:p>
    <w:p>
      <w:pPr>
        <w:ind w:left="500" w:hanging="491"/>
        <w:spacing w:after="0"/>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4,399</w:t>
      </w:r>
    </w:p>
    <w:p>
      <w:pPr>
        <w:spacing w:after="0" w:line="3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6,193</w:t>
      </w:r>
    </w:p>
    <w:p>
      <w:pPr>
        <w:spacing w:after="0" w:line="32"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50,000</w:t>
      </w:r>
    </w:p>
    <w:p>
      <w:pPr>
        <w:spacing w:after="0" w:line="9"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275,000</w:t>
      </w:r>
    </w:p>
    <w:p>
      <w:pPr>
        <w:spacing w:after="0" w:line="9"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900,000</w:t>
      </w:r>
    </w:p>
    <w:p>
      <w:pPr>
        <w:spacing w:after="0" w:line="9"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195,000</w:t>
      </w:r>
    </w:p>
    <w:p>
      <w:pPr>
        <w:spacing w:after="0" w:line="9"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3,500</w:t>
      </w:r>
    </w:p>
    <w:p>
      <w:pPr>
        <w:spacing w:after="0" w:line="9"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746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$ 1,434,500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5746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615" w:lineRule="exact"/>
        <w:rPr>
          <w:sz w:val="20"/>
          <w:szCs w:val="20"/>
          <w:color w:val="auto"/>
        </w:rPr>
      </w:pPr>
    </w:p>
    <w:p>
      <w:pPr>
        <w:sectPr>
          <w:pgSz w:w="11900" w:h="16838" w:orient="portrait"/>
          <w:cols w:equalWidth="0" w:num="2">
            <w:col w:w="8800" w:space="720"/>
            <w:col w:w="1900"/>
          </w:cols>
          <w:pgMar w:left="240" w:top="459" w:right="239" w:bottom="1440" w:gutter="0" w:footer="0" w:header="0"/>
          <w:type w:val="continuous"/>
        </w:sectPr>
      </w:pPr>
    </w:p>
    <w:p>
      <w:pPr>
        <w:ind w:right="100" w:firstLine="456"/>
        <w:spacing w:after="0" w:line="302"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4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7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by the Delaware General Corporation Law, our second amended and restated certificate of incorporation and amended and restated bylaws to be in effect upon the closing of this offering provide that: (i) we are required to indemnify our directors and officers to the fullest extent permitted by the Delaware General Corporation Law; (ii) we may, in our discretion, indemnify our employees and agents as set forth in the Delaware General Corporation Law; (iii) we are required, upon satisfaction of certain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conditions, to advance all expenses incurred by our directors and officers in connection with certain legal proceedings; (iv) the rights conferred in the bylaws are not exclusive; and (v) we are authorized to enter into indemnification agreements with our directors, officers, employees and agents.</w:t>
      </w:r>
    </w:p>
    <w:p>
      <w:pPr>
        <w:spacing w:after="0" w:line="3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enter into indemnification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7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addition, the underwriting agreement to be filed as Exhibit 1.1 to this Registration Statement provides for indemnification by the underwriters of us and our officers and directors for certain liabilities arising under the Securities Act of 1933, as amended, or the Securities Act,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regarding all unregistered securities issued by us since inception.</w:t>
      </w:r>
    </w:p>
    <w:p>
      <w:pPr>
        <w:spacing w:after="0" w:line="131" w:lineRule="exact"/>
        <w:rPr>
          <w:sz w:val="20"/>
          <w:szCs w:val="20"/>
          <w:color w:val="auto"/>
        </w:rPr>
      </w:pPr>
    </w:p>
    <w:p>
      <w:pPr>
        <w:ind w:left="1480" w:hanging="56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April 2016, Krystal Biotech, LLC issued 450 member units to two investors for aggregate consideration of $100,000.</w:t>
      </w:r>
    </w:p>
    <w:p>
      <w:pPr>
        <w:spacing w:after="0" w:line="130"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September 2016, Krystal Biotech, LLC converted all of the outstanding member units into 12,771 preferred units at an issue price of $7.83 per unit.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September 2016, Krystal Biotech, LLC issued 96,345 preferred units to two investors for aggregate consideration of $754,000.</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December 27, 2016, Krystal Biotech, LLC issued 70,497 preferred units to two investors for aggregate consideration of $552,000.</w:t>
      </w:r>
    </w:p>
    <w:p>
      <w:pPr>
        <w:spacing w:after="0" w:line="153" w:lineRule="exact"/>
        <w:rPr>
          <w:rFonts w:ascii="Arial" w:cs="Arial" w:eastAsia="Arial" w:hAnsi="Arial"/>
          <w:sz w:val="16"/>
          <w:szCs w:val="16"/>
          <w:color w:val="auto"/>
        </w:rPr>
      </w:pPr>
    </w:p>
    <w:p>
      <w:pPr>
        <w:jc w:val="both"/>
        <w:ind w:left="1480" w:right="320" w:hanging="567"/>
        <w:spacing w:after="0" w:line="264"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November 2016, Krystal Biotech, LLC granted to five of its directors, officers and consultants options to purchase an aggregate of 142,105 common units under the Krystal Biotech, LLC 2016 Equity Incentive Plan with a per share exercise price of $2.46. We have issued no shares of common stock upon exercise of such options.</w:t>
      </w:r>
    </w:p>
    <w:p>
      <w:pPr>
        <w:spacing w:after="0" w:line="86"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November 2016, Krystal Biotech, LLC issued two notes convertible into preferred units to three investors for aggregate consideration of $410,000.</w:t>
      </w:r>
    </w:p>
    <w:p>
      <w:pPr>
        <w:spacing w:after="0" w:line="75" w:lineRule="exact"/>
        <w:rPr>
          <w:rFonts w:ascii="Arial" w:cs="Arial" w:eastAsia="Arial" w:hAnsi="Arial"/>
          <w:sz w:val="18"/>
          <w:szCs w:val="18"/>
          <w:color w:val="auto"/>
        </w:rPr>
      </w:pPr>
    </w:p>
    <w:p>
      <w:pPr>
        <w:ind w:left="1480" w:right="960" w:hanging="567"/>
        <w:spacing w:after="0" w:line="277"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December 2016, Krystal Biotech, LLC issued seven notes convertible into preferred units to eight investors for aggregate consideration of $1,433,000.</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February 2017, Krystal Biotech, LLC issued two notes convertible into preferred units to two investors for aggregate consideration of $300,000.</w:t>
      </w:r>
    </w:p>
    <w:p>
      <w:pPr>
        <w:spacing w:after="0" w:line="75" w:lineRule="exact"/>
        <w:rPr>
          <w:rFonts w:ascii="Arial" w:cs="Arial" w:eastAsia="Arial" w:hAnsi="Arial"/>
          <w:sz w:val="18"/>
          <w:szCs w:val="18"/>
          <w:color w:val="auto"/>
        </w:rPr>
      </w:pPr>
    </w:p>
    <w:p>
      <w:pPr>
        <w:ind w:left="1480" w:right="40" w:hanging="567"/>
        <w:spacing w:after="0" w:line="259"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March 31, 2017, Krystal Biotech, LLC, a California limited liability company, converted into Krystal Biotech, Inc., a Delaware corporation. As a result, 3,490,884 common units of Krystal Biotech, LLC were converted into 3,490,884 shares of common stock, $0.00001 par value per share, of Krystal Biotech, Inc., and 179,613 preferred units of Krystal Biotech, LLC were converted into 179,613 shares of preferred stock, $0.00001 par value per share of Krystal Biotech, Inc.</w:t>
      </w:r>
    </w:p>
    <w:p>
      <w:pPr>
        <w:spacing w:after="0" w:line="92"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May 2017, we granted to four of our employees options to purchase an aggregate of 27,000 shares of common stock under the Krystal Biotech, Inc. 2017 Stock Incentive Plan with a per share exercise price of $2.46 and have issued no shares of common stock upon exercise of such options.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567"/>
        <w:spacing w:after="0" w:line="264"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June 2017, we granted to one of our directors options to purchase an aggregate of 18,949 shares of common stock under the Krystal Biotech, Inc. 2017 Stock Incentive Plan with a per share exercise prices of $8.79 and have issued no shares of common stock upon exercise of such options.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May 2017, we issued four notes convertible into shares of preferred stock to four investors for aggregate consideration of $1,249,000.</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June 2017, we issued a note convertible into shares of preferred stock to one investor for consideration of $750,000.</w:t>
      </w:r>
    </w:p>
    <w:p>
      <w:pPr>
        <w:spacing w:after="0" w:line="130" w:lineRule="exact"/>
        <w:rPr>
          <w:rFonts w:ascii="Arial" w:cs="Arial" w:eastAsia="Arial" w:hAnsi="Arial"/>
          <w:sz w:val="18"/>
          <w:szCs w:val="18"/>
          <w:color w:val="auto"/>
        </w:rPr>
      </w:pPr>
    </w:p>
    <w:p>
      <w:pPr>
        <w:ind w:left="1480" w:right="80" w:hanging="567"/>
        <w:spacing w:after="0" w:line="264"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June 2017, we granted to two of our employees options to purchase an aggregate of 13,500 shares of common stock under the Krystal Biotech, Inc. 2017 Stock Incentive Plan with a per share exercise price of $2.46 and have issued no shares of common stock upon exercise of such options.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August 2017, we issued 914,107 shares of Series A preferred stock to one investor for consideration of $7,000,032.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August 2017, we issued 130,590 shares of common stock to one investor for consideration of $1,000,029.</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Prior to the effectiveness of this registration statement, we will effect a 1-for-4.5 forward stock split, in the form of a dividend, of all outstanding shares of common and preferred stock. Except as otherwise noted, all references to common stock, common units, preferred stock, preferred units and stock options in this registration statement reflect the forward stock split.</w:t>
      </w:r>
    </w:p>
    <w:p>
      <w:pPr>
        <w:spacing w:after="0" w:line="73"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Each of the foregoing issuances was made in a transaction not involving a public offering pursuant to an exemption from the registration requirements of the Securities Act in reliance upon Section 4(a)(2) of the Securities Act, or Regulation D or Rule 701 promulgated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have filed the exhibits listed on the accompanying Exhibit Index of this registration statement, which Exhibit Index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presented in them is not applicable or is shown in the financial statements 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480" w:right="240" w:hanging="567"/>
        <w:spacing w:after="0" w:line="342" w:lineRule="auto"/>
        <w:tabs>
          <w:tab w:leader="none" w:pos="14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60"/>
        <w:spacing w:after="0" w:line="277" w:lineRule="auto"/>
        <w:rPr>
          <w:sz w:val="20"/>
          <w:szCs w:val="20"/>
          <w:color w:val="auto"/>
        </w:rPr>
      </w:pPr>
      <w:r>
        <w:rPr>
          <w:rFonts w:ascii="Arial" w:cs="Arial" w:eastAsia="Arial" w:hAnsi="Arial"/>
          <w:sz w:val="18"/>
          <w:szCs w:val="18"/>
          <w:color w:val="auto"/>
        </w:rPr>
        <w:t>Rule 424(b)(1) or (4) or 497(h) under the Securities Act shall be deemed to be part of this Registration Statement as of the time it was declared effective.</w:t>
      </w:r>
    </w:p>
    <w:p>
      <w:pPr>
        <w:spacing w:after="0" w:line="76" w:lineRule="exact"/>
        <w:rPr>
          <w:sz w:val="20"/>
          <w:szCs w:val="20"/>
          <w:color w:val="auto"/>
        </w:rPr>
      </w:pPr>
    </w:p>
    <w:p>
      <w:pPr>
        <w:ind w:left="1480" w:hanging="567"/>
        <w:spacing w:after="0" w:line="264" w:lineRule="auto"/>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Pittsburgh, State of Pennsylvania, on September 7,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KRYSTAL BIOTECH,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Krish S. Krishnan</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11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3"/>
              </w:rPr>
              <w:t>/s/ Krish S.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Krish S. Krishnan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/s/ Michael C. Sheahan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Interim Chief Financial Officer (Principal Financial</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Michael C. Sheahan, CPA</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1"/>
              </w:rPr>
              <w:t>/s/ Suma M. Krishnan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Suma M. Krishnan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Daniel S. Janney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 Douglas Norby</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Dino A. Rossi</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September 7, 2017</w:t>
            </w:r>
          </w:p>
        </w:tc>
      </w:tr>
      <w:tr>
        <w:trPr>
          <w:trHeight w:val="224"/>
        </w:trPr>
        <w:tc>
          <w:tcPr>
            <w:tcW w:w="340" w:type="dxa"/>
            <w:vAlign w:val="bottom"/>
          </w:tcPr>
          <w:p>
            <w:pPr>
              <w:spacing w:after="0"/>
              <w:rPr>
                <w:sz w:val="19"/>
                <w:szCs w:val="19"/>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Kirti Ganorkar</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67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 Krish S. Krishnan</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4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Krish S. Krishnan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7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As 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80" w:type="dxa"/>
            <w:vAlign w:val="bottom"/>
            <w:gridSpan w:val="11"/>
          </w:tcPr>
          <w:p>
            <w:pPr>
              <w:ind w:left="1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80" w:type="dxa"/>
            <w:vAlign w:val="bottom"/>
            <w:gridSpan w:val="11"/>
            <w:vMerge w:val="restart"/>
          </w:tcPr>
          <w:p>
            <w:pPr>
              <w:ind w:left="2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4"/>
                <w:szCs w:val="24"/>
                <w:color w:val="auto"/>
              </w:rPr>
            </w:pPr>
          </w:p>
        </w:tc>
        <w:tc>
          <w:tcPr>
            <w:tcW w:w="1016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460" w:type="dxa"/>
            <w:vAlign w:val="bottom"/>
          </w:tcPr>
          <w:p>
            <w:pPr>
              <w:ind w:left="100"/>
              <w:spacing w:after="0"/>
              <w:rPr>
                <w:sz w:val="20"/>
                <w:szCs w:val="20"/>
                <w:color w:val="auto"/>
              </w:rPr>
            </w:pPr>
            <w:r>
              <w:rPr>
                <w:rFonts w:ascii="Arial" w:cs="Arial" w:eastAsia="Arial" w:hAnsi="Arial"/>
                <w:sz w:val="18"/>
                <w:szCs w:val="18"/>
                <w:color w:val="auto"/>
                <w:w w:val="96"/>
              </w:rPr>
              <w:t>3.1#</w:t>
            </w:r>
          </w:p>
        </w:tc>
        <w:tc>
          <w:tcPr>
            <w:tcW w:w="80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r:id="rId251">
              <w:r>
                <w:rPr>
                  <w:rFonts w:ascii="Arial" w:cs="Arial" w:eastAsia="Arial" w:hAnsi="Arial"/>
                  <w:sz w:val="18"/>
                  <w:szCs w:val="18"/>
                  <w:color w:val="0000EE"/>
                </w:rPr>
                <w:t>Amended and Restated Certificate of Incorporation, as currently in effect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ind w:left="10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0000EE"/>
              </w:rPr>
              <w:t>Form of Second Amended and Restated Certificate of Incorporation to be effective upon the closing of this offering</w:t>
            </w:r>
          </w:p>
        </w:tc>
        <w:tc>
          <w:tcPr>
            <w:tcW w:w="0" w:type="dxa"/>
            <w:vAlign w:val="bottom"/>
          </w:tcPr>
          <w:p>
            <w:pPr>
              <w:spacing w:after="0"/>
              <w:rPr>
                <w:sz w:val="1"/>
                <w:szCs w:val="1"/>
                <w:color w:val="auto"/>
              </w:rPr>
            </w:pPr>
          </w:p>
        </w:tc>
      </w:tr>
      <w:tr>
        <w:trPr>
          <w:trHeight w:val="304"/>
        </w:trPr>
        <w:tc>
          <w:tcPr>
            <w:tcW w:w="460" w:type="dxa"/>
            <w:vAlign w:val="bottom"/>
          </w:tcPr>
          <w:p>
            <w:pPr>
              <w:ind w:left="10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Bylaws, as currently in effect</w:t>
            </w:r>
          </w:p>
        </w:tc>
        <w:tc>
          <w:tcPr>
            <w:tcW w:w="6200" w:type="dxa"/>
            <w:vAlign w:val="bottom"/>
            <w:tcBorders>
              <w:top w:val="single" w:sz="8" w:color="0000EE"/>
            </w:tcBorders>
            <w:gridSpan w:val="4"/>
          </w:tcPr>
          <w:p>
            <w:pPr>
              <w:spacing w:after="0"/>
              <w:rPr>
                <w:sz w:val="24"/>
                <w:szCs w:val="24"/>
                <w:color w:val="auto"/>
              </w:rPr>
            </w:pPr>
          </w:p>
        </w:tc>
        <w:tc>
          <w:tcPr>
            <w:tcW w:w="1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ind w:left="100"/>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c>
          <w:tcPr>
            <w:tcW w:w="0" w:type="dxa"/>
            <w:vAlign w:val="bottom"/>
          </w:tcPr>
          <w:p>
            <w:pPr>
              <w:spacing w:after="0"/>
              <w:rPr>
                <w:sz w:val="1"/>
                <w:szCs w:val="1"/>
                <w:color w:val="auto"/>
              </w:rPr>
            </w:pP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84"/>
        </w:trPr>
        <w:tc>
          <w:tcPr>
            <w:tcW w:w="460" w:type="dxa"/>
            <w:vAlign w:val="bottom"/>
          </w:tcPr>
          <w:p>
            <w:pPr>
              <w:ind w:left="100"/>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0000EE"/>
              </w:rPr>
              <w:t>Opinion of Morrison &amp; Foerster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10160" w:type="dxa"/>
            <w:vAlign w:val="bottom"/>
            <w:gridSpan w:val="15"/>
          </w:tcPr>
          <w:p>
            <w:pPr>
              <w:spacing w:after="0"/>
              <w:rPr>
                <w:sz w:val="20"/>
                <w:szCs w:val="20"/>
                <w:color w:val="auto"/>
              </w:rPr>
            </w:pPr>
            <w:r>
              <w:rPr>
                <w:rFonts w:ascii="Arial" w:cs="Arial" w:eastAsia="Arial" w:hAnsi="Arial"/>
                <w:sz w:val="18"/>
                <w:szCs w:val="18"/>
                <w:color w:val="auto"/>
                <w:w w:val="98"/>
              </w:rPr>
              <w:t>Indemnification Agreement by and between Krystal Biotech, Inc. and each of its directors and officers listed on Schedule A thereto</w:t>
            </w:r>
          </w:p>
        </w:tc>
        <w:tc>
          <w:tcPr>
            <w:tcW w:w="0" w:type="dxa"/>
            <w:vAlign w:val="bottom"/>
          </w:tcPr>
          <w:p>
            <w:pPr>
              <w:spacing w:after="0"/>
              <w:rPr>
                <w:sz w:val="1"/>
                <w:szCs w:val="1"/>
                <w:color w:val="auto"/>
              </w:rPr>
            </w:pPr>
          </w:p>
        </w:tc>
      </w:tr>
      <w:tr>
        <w:trPr>
          <w:trHeight w:val="284"/>
        </w:trPr>
        <w:tc>
          <w:tcPr>
            <w:tcW w:w="1260" w:type="dxa"/>
            <w:vAlign w:val="bottom"/>
            <w:gridSpan w:val="2"/>
          </w:tcPr>
          <w:p>
            <w:pPr>
              <w:spacing w:after="0"/>
              <w:rPr>
                <w:sz w:val="20"/>
                <w:szCs w:val="20"/>
                <w:color w:val="auto"/>
              </w:rPr>
            </w:pPr>
            <w:r>
              <w:rPr>
                <w:rFonts w:ascii="Arial" w:cs="Arial" w:eastAsia="Arial" w:hAnsi="Arial"/>
                <w:sz w:val="18"/>
                <w:szCs w:val="18"/>
                <w:color w:val="auto"/>
              </w:rPr>
              <w:t>10.2†</w:t>
            </w:r>
          </w:p>
        </w:tc>
        <w:tc>
          <w:tcPr>
            <w:tcW w:w="86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Executive Employment Agreement, effective July 1, 2017, by and between Krystal Biotech, Inc. and Krish S. Krishnan</w:t>
            </w:r>
          </w:p>
        </w:tc>
        <w:tc>
          <w:tcPr>
            <w:tcW w:w="1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10.3†</w:t>
            </w:r>
          </w:p>
        </w:tc>
        <w:tc>
          <w:tcPr>
            <w:tcW w:w="87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Executive Employment Agreement, effective May 1, 2017, by and between Krystal Biotech, Inc. and Suma M. Krishnan</w:t>
            </w:r>
          </w:p>
        </w:tc>
        <w:tc>
          <w:tcPr>
            <w:tcW w:w="1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10.4†</w:t>
            </w:r>
          </w:p>
        </w:tc>
        <w:tc>
          <w:tcPr>
            <w:tcW w:w="10160" w:type="dxa"/>
            <w:vAlign w:val="bottom"/>
            <w:gridSpan w:val="15"/>
          </w:tcPr>
          <w:p>
            <w:pPr>
              <w:spacing w:after="0"/>
              <w:rPr>
                <w:sz w:val="20"/>
                <w:szCs w:val="20"/>
                <w:color w:val="auto"/>
              </w:rPr>
            </w:pPr>
            <w:r>
              <w:rPr>
                <w:rFonts w:ascii="Arial" w:cs="Arial" w:eastAsia="Arial" w:hAnsi="Arial"/>
                <w:sz w:val="18"/>
                <w:szCs w:val="18"/>
                <w:color w:val="0000EE"/>
              </w:rPr>
              <w:t>Executive Employment Agreement, effective May 1, 2017, by and between Krystal Biotech, Inc. and Pooja Agarwal</w:t>
            </w:r>
          </w:p>
        </w:tc>
        <w:tc>
          <w:tcPr>
            <w:tcW w:w="0" w:type="dxa"/>
            <w:vAlign w:val="bottom"/>
          </w:tcPr>
          <w:p>
            <w:pPr>
              <w:spacing w:after="0"/>
              <w:rPr>
                <w:sz w:val="1"/>
                <w:szCs w:val="1"/>
                <w:color w:val="auto"/>
              </w:rPr>
            </w:pPr>
          </w:p>
        </w:tc>
      </w:tr>
      <w:tr>
        <w:trPr>
          <w:trHeight w:val="345"/>
        </w:trPr>
        <w:tc>
          <w:tcPr>
            <w:tcW w:w="1260" w:type="dxa"/>
            <w:vAlign w:val="bottom"/>
            <w:gridSpan w:val="2"/>
          </w:tcPr>
          <w:p>
            <w:pPr>
              <w:spacing w:after="0"/>
              <w:rPr>
                <w:sz w:val="20"/>
                <w:szCs w:val="20"/>
                <w:color w:val="auto"/>
              </w:rPr>
            </w:pPr>
            <w:r>
              <w:rPr>
                <w:rFonts w:ascii="Arial" w:cs="Arial" w:eastAsia="Arial" w:hAnsi="Arial"/>
                <w:sz w:val="18"/>
                <w:szCs w:val="18"/>
                <w:color w:val="auto"/>
              </w:rPr>
              <w:t>10.5†*</w:t>
            </w:r>
          </w:p>
        </w:tc>
        <w:tc>
          <w:tcPr>
            <w:tcW w:w="84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Krystal Biotech, LLC 2016 Equity Incentive Plan</w:t>
            </w:r>
          </w:p>
        </w:tc>
        <w:tc>
          <w:tcPr>
            <w:tcW w:w="17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10.6†*</w:t>
            </w:r>
          </w:p>
        </w:tc>
        <w:tc>
          <w:tcPr>
            <w:tcW w:w="10160" w:type="dxa"/>
            <w:vAlign w:val="bottom"/>
            <w:gridSpan w:val="15"/>
          </w:tcPr>
          <w:p>
            <w:pPr>
              <w:spacing w:after="0"/>
              <w:rPr>
                <w:sz w:val="20"/>
                <w:szCs w:val="20"/>
                <w:color w:val="auto"/>
              </w:rPr>
            </w:pPr>
            <w:r>
              <w:rPr>
                <w:rFonts w:ascii="Arial" w:cs="Arial" w:eastAsia="Arial" w:hAnsi="Arial"/>
                <w:sz w:val="18"/>
                <w:szCs w:val="18"/>
                <w:color w:val="auto"/>
              </w:rPr>
              <w:t>Krystal Biotech, Inc. 2017 Stock Incentive Plan</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10.7†*</w:t>
            </w:r>
          </w:p>
        </w:tc>
        <w:tc>
          <w:tcPr>
            <w:tcW w:w="10160" w:type="dxa"/>
            <w:vAlign w:val="bottom"/>
            <w:gridSpan w:val="15"/>
          </w:tcPr>
          <w:p>
            <w:pPr>
              <w:spacing w:after="0"/>
              <w:rPr>
                <w:sz w:val="20"/>
                <w:szCs w:val="20"/>
                <w:color w:val="auto"/>
              </w:rPr>
            </w:pPr>
            <w:r>
              <w:rPr>
                <w:rFonts w:ascii="Arial" w:cs="Arial" w:eastAsia="Arial" w:hAnsi="Arial"/>
                <w:sz w:val="18"/>
                <w:szCs w:val="18"/>
                <w:color w:val="auto"/>
              </w:rPr>
              <w:t>Krystal Biotech, Inc. 2017 IPO Stock Incentive Plan.</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10.8†*</w:t>
            </w: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Krystal Biotech, Inc. 2017 Stock Incentive Plan Notice of Stock Option Award.</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10.9†*</w:t>
            </w:r>
          </w:p>
        </w:tc>
        <w:tc>
          <w:tcPr>
            <w:tcW w:w="10160" w:type="dxa"/>
            <w:vAlign w:val="bottom"/>
            <w:gridSpan w:val="15"/>
          </w:tcPr>
          <w:p>
            <w:pPr>
              <w:spacing w:after="0"/>
              <w:rPr>
                <w:sz w:val="20"/>
                <w:szCs w:val="20"/>
                <w:color w:val="auto"/>
              </w:rPr>
            </w:pPr>
            <w:r>
              <w:rPr>
                <w:rFonts w:ascii="Arial" w:cs="Arial" w:eastAsia="Arial" w:hAnsi="Arial"/>
                <w:sz w:val="18"/>
                <w:szCs w:val="18"/>
                <w:color w:val="auto"/>
              </w:rPr>
              <w:t>Form of Krystal Biotech, Inc. 2017 IPO Stock Incentive Plan Notice of Stock Option Award.</w:t>
            </w:r>
          </w:p>
        </w:tc>
        <w:tc>
          <w:tcPr>
            <w:tcW w:w="0" w:type="dxa"/>
            <w:vAlign w:val="bottom"/>
          </w:tcPr>
          <w:p>
            <w:pPr>
              <w:spacing w:after="0"/>
              <w:rPr>
                <w:sz w:val="1"/>
                <w:szCs w:val="1"/>
                <w:color w:val="auto"/>
              </w:rPr>
            </w:pP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8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Lease Agreement, dated as of May 26, 2016, by and between Wharton Lender Associates, L.P. and Krystal Biotech, LLC</w:t>
            </w:r>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80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Second Amendment to Lease Agreement, dated as of February 27, 2017, by and between Wharton Lender Associates, L.P. and Krystal</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Biotech, LLC</w:t>
            </w:r>
          </w:p>
        </w:tc>
        <w:tc>
          <w:tcPr>
            <w:tcW w:w="9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15"/>
          </w:tcPr>
          <w:p>
            <w:pPr>
              <w:spacing w:after="0"/>
              <w:rPr>
                <w:rFonts w:ascii="Arial" w:cs="Arial" w:eastAsia="Arial" w:hAnsi="Arial"/>
                <w:sz w:val="18"/>
                <w:szCs w:val="18"/>
                <w:color w:val="0000EE"/>
                <w:w w:val="91"/>
              </w:rPr>
            </w:pPr>
            <w:hyperlink r:id="rId252">
              <w:r>
                <w:rPr>
                  <w:rFonts w:ascii="Arial" w:cs="Arial" w:eastAsia="Arial" w:hAnsi="Arial"/>
                  <w:sz w:val="18"/>
                  <w:szCs w:val="18"/>
                  <w:color w:val="0000EE"/>
                  <w:w w:val="91"/>
                </w:rPr>
                <w:t>Investors’ Rights Agreement, dated as of August 7, 2017, by and among Krystal Biotech, Inc. and the investors listed on Schedule A thereto</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800" w:type="dxa"/>
            <w:vAlign w:val="bottom"/>
          </w:tcPr>
          <w:p>
            <w:pPr>
              <w:spacing w:after="0"/>
              <w:rPr>
                <w:sz w:val="24"/>
                <w:szCs w:val="24"/>
                <w:color w:val="auto"/>
              </w:rPr>
            </w:pPr>
          </w:p>
        </w:tc>
        <w:tc>
          <w:tcPr>
            <w:tcW w:w="101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Consent of Mayer Hoffman McCann P.C.,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800" w:type="dxa"/>
            <w:vAlign w:val="bottom"/>
          </w:tcPr>
          <w:p>
            <w:pPr>
              <w:spacing w:after="0"/>
              <w:rPr>
                <w:sz w:val="24"/>
                <w:szCs w:val="24"/>
                <w:color w:val="auto"/>
              </w:rPr>
            </w:pPr>
          </w:p>
        </w:tc>
        <w:tc>
          <w:tcPr>
            <w:tcW w:w="64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Consent of Morrison &amp; Foerster LLP (included in Exhibit 5.1)</w:t>
            </w:r>
          </w:p>
        </w:tc>
        <w:tc>
          <w:tcPr>
            <w:tcW w:w="3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w w:val="97"/>
              </w:rPr>
              <w:t>24.1#</w:t>
            </w:r>
          </w:p>
        </w:tc>
        <w:tc>
          <w:tcPr>
            <w:tcW w:w="80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w w:val="94"/>
              </w:rPr>
            </w:pPr>
            <w:hyperlink r:id="rId253">
              <w:r>
                <w:rPr>
                  <w:rFonts w:ascii="Arial" w:cs="Arial" w:eastAsia="Arial" w:hAnsi="Arial"/>
                  <w:sz w:val="18"/>
                  <w:szCs w:val="18"/>
                  <w:color w:val="0000EE"/>
                  <w:w w:val="94"/>
                </w:rPr>
                <w:t>Power of Attorney (included on signature page) (see page II-5 to the filing of this registration statement on Form S-1 filed on August 21,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53">
              <w:r>
                <w:rPr>
                  <w:rFonts w:ascii="Arial" w:cs="Arial" w:eastAsia="Arial" w:hAnsi="Arial"/>
                  <w:sz w:val="18"/>
                  <w:szCs w:val="18"/>
                  <w:color w:val="0000EE"/>
                  <w:w w:val="86"/>
                </w:rPr>
                <w:t>2017)</w:t>
              </w:r>
            </w:hyperlink>
          </w:p>
        </w:tc>
        <w:tc>
          <w:tcPr>
            <w:tcW w:w="5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ectPr>
          <w:pgSz w:w="11900" w:h="16838" w:orient="portrait"/>
          <w:cols w:equalWidth="0" w:num="1">
            <w:col w:w="11420"/>
          </w:cols>
          <w:pgMar w:left="240" w:top="459"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INC.</w:t>
      </w:r>
    </w:p>
    <w:p>
      <w:pPr>
        <w:spacing w:after="0" w:line="225"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Krystal Biotech, Inc.</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DOES HEREBY CERTIFY:</w:t>
      </w:r>
    </w:p>
    <w:p>
      <w:pPr>
        <w:spacing w:after="0" w:line="117" w:lineRule="exact"/>
        <w:rPr>
          <w:sz w:val="20"/>
          <w:szCs w:val="20"/>
          <w:color w:val="auto"/>
        </w:rPr>
      </w:pPr>
    </w:p>
    <w:p>
      <w:pPr>
        <w:ind w:firstLine="8"/>
        <w:spacing w:after="0" w:line="264" w:lineRule="auto"/>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name of the Corporation is Krystal Biotech, Inc. The Corporation was originally formed on March 31, 2017 by filing a Certificate of Incorporation (the “</w:t>
      </w:r>
      <w:r>
        <w:rPr>
          <w:rFonts w:ascii="Arial" w:cs="Arial" w:eastAsia="Arial" w:hAnsi="Arial"/>
          <w:sz w:val="18"/>
          <w:szCs w:val="18"/>
          <w:b w:val="1"/>
          <w:bCs w:val="1"/>
          <w:color w:val="auto"/>
        </w:rPr>
        <w:t>Original Certificate</w:t>
      </w:r>
      <w:r>
        <w:rPr>
          <w:rFonts w:ascii="Arial" w:cs="Arial" w:eastAsia="Arial" w:hAnsi="Arial"/>
          <w:sz w:val="18"/>
          <w:szCs w:val="18"/>
          <w:color w:val="auto"/>
        </w:rPr>
        <w:t>”) with the Secretary of State of the State of Delaware. The Corporation filed an Amended and Restated Certificate (the “</w:t>
      </w:r>
      <w:r>
        <w:rPr>
          <w:rFonts w:ascii="Arial" w:cs="Arial" w:eastAsia="Arial" w:hAnsi="Arial"/>
          <w:sz w:val="18"/>
          <w:szCs w:val="18"/>
          <w:b w:val="1"/>
          <w:bCs w:val="1"/>
          <w:color w:val="auto"/>
        </w:rPr>
        <w:t>Restated</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with the Secretary of State of the State of Delaware on August 4, 2017.</w:t>
      </w:r>
    </w:p>
    <w:p>
      <w:pPr>
        <w:spacing w:after="0" w:line="73" w:lineRule="exact"/>
        <w:rPr>
          <w:rFonts w:ascii="Arial" w:cs="Arial" w:eastAsia="Arial" w:hAnsi="Arial"/>
          <w:sz w:val="18"/>
          <w:szCs w:val="18"/>
          <w:color w:val="auto"/>
        </w:rPr>
      </w:pPr>
    </w:p>
    <w:p>
      <w:pPr>
        <w:ind w:right="40" w:firstLine="8"/>
        <w:spacing w:after="0" w:line="286" w:lineRule="auto"/>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Pursuant to Sections 242 and 245 of the General Corporation Law of the State of Delaware, and with the approval of the Corporation’s stockholders having been given by written consent without a meeting in accordance with Section 228 thereof, this Second Amended and Restated Certificate of Incorporation restates, integrates and further amends the provisions of the Restated Certificate as heretofore amended and supplemented.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text of this Second Amended and Restated Certificate of Incorporation shall read in its entirety as follows:</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Krystal Biotech,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Delaware, New Castle County 19801. The name of its registered agent at such address is The Corporation Trust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nature of the business of the Corporation and the objects or purposes to be transacted, promoted or carried on by it are as follows: To engage in any lawful act or activity for which corporations may be organized under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The total number of shares of all classes of stock which the Corporation is authorized to issue is One Hundred Million (100,000,000), consisting 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Eighty Million (80,000,000) shares of Common Stock, with a par value of $0.00001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ectPr>
          <w:pgSz w:w="11900" w:h="16838" w:orient="portrait"/>
          <w:cols w:equalWidth="0" w:num="1">
            <w:col w:w="11420"/>
          </w:cols>
          <w:pgMar w:left="240" w:top="121"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Twenty Million (20,000,000) shares of Preferred Stock, with a par value of $0.00001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 The Board of Directors is authorized, subject to any limitations prescribed by law, to provide for the issuance of, out of unissued shares of Preferred Stock, one or more series of shares of Preferred Stock, and by filing a certificate pursuant to the applicable law of the State of Delaware (such certificate being hereinafter referred to as a “</w:t>
      </w:r>
      <w:r>
        <w:rPr>
          <w:rFonts w:ascii="Arial" w:cs="Arial" w:eastAsia="Arial" w:hAnsi="Arial"/>
          <w:sz w:val="16"/>
          <w:szCs w:val="16"/>
          <w:b w:val="1"/>
          <w:bCs w:val="1"/>
          <w:color w:val="auto"/>
        </w:rPr>
        <w:t>Preferred Stock Designation</w:t>
      </w:r>
      <w:r>
        <w:rPr>
          <w:rFonts w:ascii="Arial" w:cs="Arial" w:eastAsia="Arial" w:hAnsi="Arial"/>
          <w:sz w:val="16"/>
          <w:szCs w:val="16"/>
          <w:color w:val="auto"/>
        </w:rPr>
        <w:t xml:space="preserve">”), to establish from time to time the number of shares to be included in each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preemptive rights, rights and terms of redemption (including sinking and purchase fund provisions), the redemption price or prices, the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except as hereinafter in this Article IV otherwise expressly provided, vary in any and all respects as fixed and determined by the resolution or resolutions of the Board of Directors providing for the issuance of the various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all shares of any one series of Preferred Stock shall have the same designation, preferences and relative, participating, optional or other special rights and qualifications, limitations and restrictions.</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the holders of the Preferred Stock, or any series thereof, unless a vote of any such holders is required pursuant to the terms of any Preferred Stock Designation, irrespective of the provisions of Section 242(b)(2) of the DGCL.</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 Except as otherwise required by law, or as otherwise fixed by resolution or resolutions of the Board of Directors with respect to one or more series of Preferred Stock, the entire voting power and all voting rights shall be vested exclusively in the Common Stock, and each holder of Common Stock shall be entitled to one (1) vote for each share of such stock standing in such stockholder’s name on the books of the Corporation.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Elections of directors need not be by written ballot unless the Bylaws of the Corporation shall so provide.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 The number of directors which shall constitute the Board of Directors shall be fixed, within the limits specified in the Bylaws of the Corporation, by a bylaw, an amendment thereof or by a resolution adopted by a majority of the Whole Board. For purposes of this Second Amended and Restated Certificate of Incorporation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 whether or not there exist any vacancies in previously authorized directorships.</w:t>
      </w:r>
    </w:p>
    <w:p>
      <w:pPr>
        <w:spacing w:after="0" w:line="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 From and after the effective time (the “</w:t>
      </w:r>
      <w:r>
        <w:rPr>
          <w:rFonts w:ascii="Arial" w:cs="Arial" w:eastAsia="Arial" w:hAnsi="Arial"/>
          <w:sz w:val="17"/>
          <w:szCs w:val="17"/>
          <w:b w:val="1"/>
          <w:bCs w:val="1"/>
          <w:color w:val="auto"/>
        </w:rPr>
        <w:t>Effective Time</w:t>
      </w:r>
      <w:r>
        <w:rPr>
          <w:rFonts w:ascii="Arial" w:cs="Arial" w:eastAsia="Arial" w:hAnsi="Arial"/>
          <w:sz w:val="17"/>
          <w:szCs w:val="17"/>
          <w:color w:val="auto"/>
        </w:rPr>
        <w:t>”) of this Certificate of Incorporation, the directors, other than any who may be elected by the holders of any series of Preferred Stock under specified circumstances,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regularly scheduled annual meeting of stockholders following the Effective Time, each of the successors elected to replace the directors of a</w:t>
      </w:r>
    </w:p>
    <w:p>
      <w:pPr>
        <w:sectPr>
          <w:pgSz w:w="11900" w:h="16838" w:orient="portrait"/>
          <w:cols w:equalWidth="0" w:num="1">
            <w:col w:w="11380"/>
          </w:cols>
          <w:pgMar w:left="240" w:top="270" w:right="279" w:bottom="1440" w:gutter="0" w:footer="0" w:header="0"/>
        </w:sectPr>
      </w:pPr>
    </w:p>
    <w:bookmarkStart w:id="172" w:name="page173"/>
    <w:bookmarkEnd w:id="17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Class whose term shall have expired at such annual meeting shall be elected to hold office until the third annual meeting next succeeding his or her election and until his or her respective successor shall have been duly elected and qualified. Notwithstanding the foregoing provisions of this Article, each director shall serve until his or her successor is duly elected and qualified or until his or her death, resignation, or removal. If the number of directors is hereafter changed, any newly created directorships or decrease in directorships shall be so apportioned among the classes as to make all classes as nearly equal in number as is practicable,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decrease in the number of directors constituting the Board of Directors shall shorten the term of any incumbent director.</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 In addition to any vote of the holders of any class or series of the stock of this Corporation required by law or by this Certificate of Incorporation (including any Certificate of Designation), any director may be removed from office only for cause, at a meeting called for that purpose, by the affirmative vote of the holders of at least sixty-six and two-thirds percent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 of the voting power of all outstanding shares of capital stock entitled to vote at an election of directors, voting together as a single class. Vacancies occurring on the Board of Directors for any reason and newly created directorships resulting from an increase in the authorized number of directors shall be filled only by vote of a majority of the members of the Board of Directors then in office, although less than a quorum, or by a sole remaining director, at any meeting of the Board of Directors, and not by the stockholders. A person elected to fill a vacancy or newly created directorship shall be assigned to a class as determined by the Board of Directors and shall hold office until the next election of the class to which such director shall have been assigned and until his or her successor shall be duly elected and qualified.</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following provisions are inserted for the management of the business and the conduct of the affairs of the Corporation, and for further definition, limitation and regulation of the powers of the Corporation and not in limitation or exclusion or any powers conferred upon it by statute.</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 In addition to the powers and authority expressly conferred by statute or by this Certificate of Incorporation or the Bylaws of the Corporation, the Board of Directors is hereby empowered to exercise all such powers and do all such acts and things as may be exercised or done by the Corporation.</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B. The Board of Directors is expressly authorized to adopt, amend and repeal the Bylaws of the Corporation. In addition to any vote of the holders of any class or series of the stock of this Corporation required by law or by this Certificate of Incorporation (including any Certificate of Designation), the stockholders are expressly authorized to adopt, amend and repeal the Bylaws of the Corporation, by the affirmative vote of sixty-six and two-thirds percent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outstanding shares entitled to vote thereon, unless an affirmative vote by a larger percentage is required with respect to any matter by the Bylaws or this Certificate of Incorporation.</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 Special meetings of the stockholders may be called only by (i) the Board of Directors pursuant to a resolution adopted by a majority of the Whole Board; (ii) the Chairman of the Board; or (iii) the President of the Corporation.</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ectPr>
          <w:pgSz w:w="11900" w:h="16838" w:orient="portrait"/>
          <w:cols w:equalWidth="0" w:num="1">
            <w:col w:w="11320"/>
          </w:cols>
          <w:pgMar w:left="240" w:top="274" w:right="3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To the fullest extent permitted by the DGCL, as it presently exists or may hereafter be amended from time to time, no current or former director of the Corporation shall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 The Corporation shall indemnify, to the fullest extent permitted by applicable law, any current or former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be required to indemnify a person in connection with a Proceeding initiated by such person (other than a Proceeding to enforce rights to indemnification granted by the Corporation hereunder or elsewhere) only if the Proceeding was authorized by the Board of Directors.</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 The Corporation shall have the power to indemnify, to the fullest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6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 Neither any amendment nor repeal of this Article VII, nor the adoption of any provision of this Certificate of Incorporation inconsistent with this Article VII, shall eliminate or reduce the effect of this Article VII in respect of any matter occurring, or any cause of action, suit or proceeding accruing or arising or that, but for this Article VII, would accrue or arise, prior to such amendment, repeal or adoption of an inconsistent provision.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DGCL or on the application of trustees in dissolution or of any receiver or receivers appointed for the Corporation under the provisions of Section 279 of DGCL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ectPr>
          <w:pgSz w:w="11900" w:h="16838" w:orient="portrait"/>
          <w:cols w:equalWidth="0" w:num="1">
            <w:col w:w="11420"/>
          </w:cols>
          <w:pgMar w:left="240" w:top="270" w:right="23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all Internal Corporate Claims shall be brought solely and exclusively in the Court of Chancery of the State of Delaware (or, if such court does not have jurisdiction, the Superior Court of the State of Delaware, or, if such other court does not have jurisdiction, the United States District Court for the District of Delaware). “</w:t>
      </w:r>
      <w:r>
        <w:rPr>
          <w:rFonts w:ascii="Arial" w:cs="Arial" w:eastAsia="Arial" w:hAnsi="Arial"/>
          <w:sz w:val="18"/>
          <w:szCs w:val="18"/>
          <w:b w:val="1"/>
          <w:bCs w:val="1"/>
          <w:color w:val="auto"/>
        </w:rPr>
        <w:t>Internal 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Claims</w:t>
      </w:r>
      <w:r>
        <w:rPr>
          <w:rFonts w:ascii="Arial" w:cs="Arial" w:eastAsia="Arial" w:hAnsi="Arial"/>
          <w:sz w:val="18"/>
          <w:szCs w:val="18"/>
          <w:color w:val="auto"/>
        </w:rPr>
        <w:t>” means claims, including claims in the right of the Corporation, brought by a stockholder (including a beneficial owner) (i) that are based upon a</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 duty by a current or former director, officer, stockholder, employee or agent in such capacity or (ii) as to which the DGCL confers jurisdiction upon the Court of Chancery of the State of Delaware.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Except as provided in Article VII above, the Corporation reserves the right to amend, alter, change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 other provision of this Certificate of Incorporation or any provision of law that might otherwise permit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vote or no vote, but in addition to any vote of the holders of any class or series of the stock of this Corporation required by law or by this Certificate of Incorporation (including any Certificate of Designation), the affirmative vote of the holders of at least sixty-six and two-thirds percent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the outstanding shares of stock of the Corporation entitled to vote generally in the election of directors, voting together as a single class, shall be required to amend or repeal, or adopt any provision of this Certificate of Incorporation inconsistent with, Article V, Article VI, Article VII, Article IX or this Article X.</w:t>
      </w:r>
    </w:p>
    <w:p>
      <w:pPr>
        <w:sectPr>
          <w:pgSz w:w="11900" w:h="16838" w:orient="portrait"/>
          <w:cols w:equalWidth="0" w:num="1">
            <w:col w:w="11380"/>
          </w:cols>
          <w:pgMar w:left="240" w:top="270" w:right="27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Corporation has caused this Second Amended and Restated Certificate of Incorporation to be signed by Krish S. Krishnan, 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w w:val="97"/>
              </w:rPr>
              <w:t>duly authorized officer of the Corporation, on this</w:t>
            </w:r>
          </w:p>
        </w:tc>
        <w:tc>
          <w:tcPr>
            <w:tcW w:w="7600" w:type="dxa"/>
            <w:vAlign w:val="bottom"/>
            <w:gridSpan w:val="2"/>
          </w:tcPr>
          <w:p>
            <w:pPr>
              <w:ind w:left="240"/>
              <w:spacing w:after="0"/>
              <w:rPr>
                <w:sz w:val="20"/>
                <w:szCs w:val="20"/>
                <w:color w:val="auto"/>
              </w:rPr>
            </w:pPr>
            <w:r>
              <w:rPr>
                <w:rFonts w:ascii="Arial" w:cs="Arial" w:eastAsia="Arial" w:hAnsi="Arial"/>
                <w:sz w:val="18"/>
                <w:szCs w:val="18"/>
                <w:color w:val="auto"/>
              </w:rPr>
              <w:t>day of September, 2017.</w:t>
            </w:r>
          </w:p>
        </w:tc>
      </w:tr>
      <w:tr>
        <w:trPr>
          <w:trHeight w:val="445"/>
        </w:trPr>
        <w:tc>
          <w:tcPr>
            <w:tcW w:w="3820" w:type="dxa"/>
            <w:vAlign w:val="bottom"/>
          </w:tcPr>
          <w:p>
            <w:pPr>
              <w:spacing w:after="0"/>
              <w:rPr>
                <w:sz w:val="24"/>
                <w:szCs w:val="24"/>
                <w:color w:val="auto"/>
              </w:rPr>
            </w:pPr>
          </w:p>
        </w:tc>
        <w:tc>
          <w:tcPr>
            <w:tcW w:w="7600" w:type="dxa"/>
            <w:vAlign w:val="bottom"/>
            <w:gridSpan w:val="2"/>
          </w:tcPr>
          <w:p>
            <w:pPr>
              <w:ind w:left="3040"/>
              <w:spacing w:after="0"/>
              <w:rPr>
                <w:sz w:val="20"/>
                <w:szCs w:val="20"/>
                <w:color w:val="auto"/>
              </w:rPr>
            </w:pPr>
            <w:r>
              <w:rPr>
                <w:rFonts w:ascii="Arial" w:cs="Arial" w:eastAsia="Arial" w:hAnsi="Arial"/>
                <w:sz w:val="18"/>
                <w:szCs w:val="18"/>
                <w:b w:val="1"/>
                <w:bCs w:val="1"/>
                <w:color w:val="auto"/>
              </w:rPr>
              <w:t>KRYSTAL BIOTECH, INC.</w:t>
            </w: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3040"/>
              <w:spacing w:after="0"/>
              <w:rPr>
                <w:sz w:val="20"/>
                <w:szCs w:val="20"/>
                <w:color w:val="auto"/>
              </w:rPr>
            </w:pPr>
            <w:r>
              <w:rPr>
                <w:rFonts w:ascii="Arial" w:cs="Arial" w:eastAsia="Arial" w:hAnsi="Arial"/>
                <w:sz w:val="18"/>
                <w:szCs w:val="18"/>
                <w:color w:val="auto"/>
              </w:rPr>
              <w:t>By:</w:t>
            </w:r>
          </w:p>
        </w:tc>
      </w:tr>
      <w:tr>
        <w:trPr>
          <w:trHeight w:val="209"/>
        </w:trPr>
        <w:tc>
          <w:tcPr>
            <w:tcW w:w="3820" w:type="dxa"/>
            <w:vAlign w:val="bottom"/>
          </w:tcPr>
          <w:p>
            <w:pPr>
              <w:spacing w:after="0"/>
              <w:rPr>
                <w:sz w:val="18"/>
                <w:szCs w:val="18"/>
                <w:color w:val="auto"/>
              </w:rPr>
            </w:pPr>
          </w:p>
        </w:tc>
        <w:tc>
          <w:tcPr>
            <w:tcW w:w="3620" w:type="dxa"/>
            <w:vAlign w:val="bottom"/>
          </w:tcPr>
          <w:p>
            <w:pPr>
              <w:ind w:left="3040"/>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Krish S. Krishnan</w:t>
            </w:r>
          </w:p>
        </w:tc>
      </w:tr>
      <w:tr>
        <w:trPr>
          <w:trHeight w:val="230"/>
        </w:trPr>
        <w:tc>
          <w:tcPr>
            <w:tcW w:w="3820" w:type="dxa"/>
            <w:vAlign w:val="bottom"/>
          </w:tcPr>
          <w:p>
            <w:pPr>
              <w:spacing w:after="0"/>
              <w:rPr>
                <w:sz w:val="20"/>
                <w:szCs w:val="20"/>
                <w:color w:val="auto"/>
              </w:rPr>
            </w:pPr>
          </w:p>
        </w:tc>
        <w:tc>
          <w:tcPr>
            <w:tcW w:w="7600" w:type="dxa"/>
            <w:vAlign w:val="bottom"/>
            <w:gridSpan w:val="2"/>
          </w:tcPr>
          <w:p>
            <w:pPr>
              <w:ind w:left="304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KRYSTAL BIOTECH,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220"/>
          </w:cols>
          <w:pgMar w:left="1440" w:top="121" w:right="23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KRYSTAL BIOTECH,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3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Registered Office.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office of the corporation in the State of Delaware shall be in the City of Wilmington, New Castle County.</w:t>
      </w: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Other Offices.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corporation shall also have and maintain an office or principal place of business at 350 Rhode Island Street, Suite 240, San Francisco, CA 94103, and may also have offices at such other places, both within and without the State of Delaware as the Board of Directors may from time to time determine or the business of the corporation may require.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3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Place of Meetings.</w:t>
      </w:r>
    </w:p>
    <w:p>
      <w:pPr>
        <w:spacing w:after="0" w:line="121" w:lineRule="exact"/>
        <w:rPr>
          <w:sz w:val="20"/>
          <w:szCs w:val="20"/>
          <w:color w:val="auto"/>
        </w:rPr>
      </w:pPr>
    </w:p>
    <w:p>
      <w:pPr>
        <w:jc w:val="both"/>
        <w:ind w:right="80" w:firstLine="464"/>
        <w:spacing w:after="0" w:line="312" w:lineRule="auto"/>
        <w:tabs>
          <w:tab w:leader="none" w:pos="7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Meetings of stockholders may be held at such place, either within or without this State, as may be designated by or in the manner provided in these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Section 2.1.</w:t>
      </w:r>
    </w:p>
    <w:p>
      <w:pPr>
        <w:spacing w:after="0" w:line="146" w:lineRule="exact"/>
        <w:rPr>
          <w:rFonts w:ascii="Arial" w:cs="Arial" w:eastAsia="Arial" w:hAnsi="Arial"/>
          <w:sz w:val="16"/>
          <w:szCs w:val="16"/>
          <w:color w:val="auto"/>
        </w:rPr>
      </w:pPr>
    </w:p>
    <w:p>
      <w:pPr>
        <w:ind w:right="280" w:firstLine="464"/>
        <w:spacing w:after="0" w:line="308" w:lineRule="auto"/>
        <w:tabs>
          <w:tab w:leader="none" w:pos="71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left="460" w:firstLine="443"/>
        <w:spacing w:after="0" w:line="257" w:lineRule="auto"/>
        <w:tabs>
          <w:tab w:leader="none" w:pos="115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178" w:name="page179"/>
    <w:bookmarkEnd w:id="178"/>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spacing w:after="0" w:line="181" w:lineRule="exact"/>
        <w:rPr>
          <w:sz w:val="20"/>
          <w:szCs w:val="20"/>
          <w:color w:val="auto"/>
        </w:rPr>
      </w:pPr>
    </w:p>
    <w:p>
      <w:pPr>
        <w:ind w:right="340" w:firstLine="464"/>
        <w:spacing w:after="0" w:line="27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purposes of this Section 2.1, “remote communication” shall include (1) telephone or other voice communications and (2) electronic mail or other form of written or visual electronic communications satisfying the requirements of Section 2.11(b).</w:t>
      </w:r>
    </w:p>
    <w:p>
      <w:pPr>
        <w:spacing w:after="0" w:line="27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Annual Meetings.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annual meetings of the stockholders of the corporation, for the purpose of election of directors and for such other business as may lawfully come before it, shall be held on such date and at such time as may be designated from time to time by the Board of Directors, or, if not so designated, then at 10:00 a.m. on April 30 in each year if not a legal holiday, and, if a legal holiday, at the same hour and place on the next succeeding day not a holiday.</w:t>
      </w:r>
    </w:p>
    <w:p>
      <w:pPr>
        <w:spacing w:after="0" w:line="25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color w:val="auto"/>
        </w:rPr>
        <w:t>Special Meetings.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Special Meetings of the stockholders of the corporation may be called, for any purpose or purposes, by the Chairman of the Board or the President or the Board of Directors at any time. Upon written request of any stockholder or stockholders holding in the aggregate one-fifth of the voting power of all stockholders delivered in person or sent by registered mail to the Chairman of the Board, President or Secretary of the Corporation, the Secretary shall call a special meeting of stockholders to be held as provided in Section 2.1 at such time as the Secretary may fix, such meeting to be held not less than 10 nor more than 60 days after the receipt of such request, and if the Secretary shall neglect or refuse to call such meeting within seven days after the receipt of such request, the stockholder making such request may do so.</w:t>
      </w:r>
    </w:p>
    <w:p>
      <w:pPr>
        <w:spacing w:after="0" w:line="29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Notice of Meetings.</w:t>
      </w:r>
    </w:p>
    <w:p>
      <w:pPr>
        <w:spacing w:after="0" w:line="121" w:lineRule="exact"/>
        <w:rPr>
          <w:sz w:val="20"/>
          <w:szCs w:val="20"/>
          <w:color w:val="auto"/>
        </w:rPr>
      </w:pPr>
    </w:p>
    <w:p>
      <w:pPr>
        <w:ind w:right="20" w:firstLine="464"/>
        <w:spacing w:after="0" w:line="255" w:lineRule="auto"/>
        <w:tabs>
          <w:tab w:leader="none" w:pos="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shall be given not less than 10 nor more than 60 days before the date of the meeting to each stockholder entitled to vote thereat, directed to his address as it appears upon the books of the corporation; except that where the matter to be acted on is a merger or consolidation of the Corporation or a sale, lease or exchange of all or substantially all of its assets, such notice shall be given not less than 20 nor more than 60 days prior to such meeting.</w:t>
      </w:r>
    </w:p>
    <w:p>
      <w:pPr>
        <w:spacing w:after="0" w:line="193" w:lineRule="exact"/>
        <w:rPr>
          <w:rFonts w:ascii="Arial" w:cs="Arial" w:eastAsia="Arial" w:hAnsi="Arial"/>
          <w:sz w:val="18"/>
          <w:szCs w:val="18"/>
          <w:color w:val="auto"/>
        </w:rPr>
      </w:pPr>
    </w:p>
    <w:p>
      <w:pPr>
        <w:ind w:firstLine="464"/>
        <w:spacing w:after="0" w:line="264"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at any meeting action is proposed to be taken which, if taken, would entitle shareholders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79" w:name="page180"/>
    <w:bookmarkEnd w:id="179"/>
    <w:p>
      <w:pPr>
        <w:ind w:firstLine="464"/>
        <w:spacing w:after="0" w:line="257" w:lineRule="auto"/>
        <w:tabs>
          <w:tab w:leader="none" w:pos="7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thirty days, or unless after the adjournment a new record date is fixed for the adjourned meeting, in which event a notice of the adjourned meeting shall be given to each stockholder of record entitled to vote at the meeting.</w:t>
      </w:r>
    </w:p>
    <w:p>
      <w:pPr>
        <w:spacing w:after="0" w:line="188" w:lineRule="exact"/>
        <w:rPr>
          <w:rFonts w:ascii="Arial" w:cs="Arial" w:eastAsia="Arial" w:hAnsi="Arial"/>
          <w:sz w:val="18"/>
          <w:szCs w:val="18"/>
          <w:color w:val="auto"/>
        </w:rPr>
      </w:pPr>
    </w:p>
    <w:p>
      <w:pPr>
        <w:ind w:right="400" w:firstLine="464"/>
        <w:spacing w:after="0" w:line="286" w:lineRule="auto"/>
        <w:tabs>
          <w:tab w:leader="none" w:pos="71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Notice of the time, place and purpose of any meeting of stockholders may be waived in writing, either before or after such meeting, and, to the extent permitted by law, will be waived by any stockholder by his attendance thereat, in person or by proxy. Any stockholder so waiving notice of such meeting shall be bound by the proceedings of any such meeting in all respects as if due notice thereof had been given.</w:t>
      </w:r>
    </w:p>
    <w:p>
      <w:pPr>
        <w:spacing w:after="0" w:line="165" w:lineRule="exact"/>
        <w:rPr>
          <w:rFonts w:ascii="Arial" w:cs="Arial" w:eastAsia="Arial" w:hAnsi="Arial"/>
          <w:sz w:val="17"/>
          <w:szCs w:val="17"/>
          <w:color w:val="auto"/>
        </w:rPr>
      </w:pPr>
    </w:p>
    <w:p>
      <w:pPr>
        <w:ind w:firstLine="464"/>
        <w:spacing w:after="0" w:line="268" w:lineRule="auto"/>
        <w:tabs>
          <w:tab w:leader="none" w:pos="70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Quorum and Voting.</w:t>
      </w:r>
    </w:p>
    <w:p>
      <w:pPr>
        <w:spacing w:after="0" w:line="121" w:lineRule="exact"/>
        <w:rPr>
          <w:sz w:val="20"/>
          <w:szCs w:val="20"/>
          <w:color w:val="auto"/>
        </w:rPr>
      </w:pPr>
    </w:p>
    <w:p>
      <w:pPr>
        <w:ind w:right="40" w:firstLine="464"/>
        <w:spacing w:after="0" w:line="279" w:lineRule="auto"/>
        <w:tabs>
          <w:tab w:leader="none" w:pos="70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0" w:name="page181"/>
    <w:bookmarkEnd w:id="180"/>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spacing w:after="0" w:line="171" w:lineRule="exact"/>
        <w:rPr>
          <w:sz w:val="20"/>
          <w:szCs w:val="20"/>
          <w:color w:val="auto"/>
        </w:rPr>
      </w:pPr>
    </w:p>
    <w:p>
      <w:pPr>
        <w:ind w:right="340" w:firstLine="464"/>
        <w:spacing w:after="0" w:line="277"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these Bylaws, all action taken by the holders of a majority of the voting power represented at any meeting at which a quorum is present shall be valid and binding upon the corporation.</w:t>
      </w:r>
    </w:p>
    <w:p>
      <w:pPr>
        <w:spacing w:after="0" w:line="170"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shares of such class or classes present in person or represented by proxy at the meeting shall be the act of such class.</w:t>
      </w:r>
    </w:p>
    <w:p>
      <w:pPr>
        <w:spacing w:after="0" w:line="28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firstLine="464"/>
        <w:spacing w:after="0" w:line="257"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spacing w:after="0" w:line="188" w:lineRule="exact"/>
        <w:rPr>
          <w:rFonts w:ascii="Arial" w:cs="Arial" w:eastAsia="Arial" w:hAnsi="Arial"/>
          <w:sz w:val="18"/>
          <w:szCs w:val="18"/>
          <w:color w:val="auto"/>
        </w:rPr>
      </w:pPr>
    </w:p>
    <w:p>
      <w:pPr>
        <w:ind w:right="40" w:firstLine="464"/>
        <w:spacing w:after="0" w:line="276" w:lineRule="auto"/>
        <w:tabs>
          <w:tab w:leader="none" w:pos="71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Every person entitled to vote or to execute consents shall have the right to do so either in person or by an agent or agents authorized by a written proxy executed by such person or his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his legal representatives or assigns, except in those cases where an irrevocable proxy permitted by statute has been given.</w:t>
      </w:r>
    </w:p>
    <w:p>
      <w:pPr>
        <w:spacing w:after="0" w:line="172" w:lineRule="exact"/>
        <w:rPr>
          <w:rFonts w:ascii="Arial" w:cs="Arial" w:eastAsia="Arial" w:hAnsi="Arial"/>
          <w:sz w:val="17"/>
          <w:szCs w:val="17"/>
          <w:color w:val="auto"/>
        </w:rPr>
      </w:pPr>
    </w:p>
    <w:p>
      <w:pPr>
        <w:ind w:right="240" w:firstLine="464"/>
        <w:spacing w:after="0" w:line="277"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Without limiting the manner in which a stockholder may authorize another person or persons to act for him as proxy pursuant to subsection (b) of this section, the following shall constitute a valid means by which a stockholder may grant such authority:</w:t>
      </w:r>
    </w:p>
    <w:p>
      <w:pPr>
        <w:spacing w:after="0" w:line="62" w:lineRule="exact"/>
        <w:rPr>
          <w:rFonts w:ascii="Arial" w:cs="Arial" w:eastAsia="Arial" w:hAnsi="Arial"/>
          <w:sz w:val="18"/>
          <w:szCs w:val="18"/>
          <w:color w:val="auto"/>
        </w:rPr>
      </w:pPr>
    </w:p>
    <w:p>
      <w:pPr>
        <w:jc w:val="both"/>
        <w:ind w:left="460" w:right="240" w:firstLine="443"/>
        <w:spacing w:after="0" w:line="264" w:lineRule="auto"/>
        <w:tabs>
          <w:tab w:leader="none" w:pos="114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him as proxy. Execution may be accomplished by the stockholder or his authorized officer, director, employee or agent signing such writing or causing his or her signature to be affixed to such writing by any reasonable means including, but not limited to, by facsimile signature.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81" w:name="page182"/>
    <w:bookmarkEnd w:id="181"/>
    <w:p>
      <w:pPr>
        <w:ind w:left="460" w:right="60" w:firstLine="443"/>
        <w:spacing w:after="0" w:line="271" w:lineRule="auto"/>
        <w:tabs>
          <w:tab w:leader="none" w:pos="1153"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may authorize another person or persons to act for him as proxy by transmitting or authorizing the transmission of a telephone,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telephone, telegram, cablegram or other means of electronic transmission must either set forth or be submitted with information from which it can be determined that the telephone, telegram, cablegram or other electronic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it is determined that such telegrams, cablegrams or other electronic transmissions are valid, the inspectors or, if there are no inspectors, such other persons making that determination shall specify the information upon which they relied.</w:t>
      </w:r>
    </w:p>
    <w:p>
      <w:pPr>
        <w:spacing w:after="0" w:line="62" w:lineRule="exact"/>
        <w:rPr>
          <w:sz w:val="20"/>
          <w:szCs w:val="20"/>
          <w:color w:val="auto"/>
        </w:rPr>
      </w:pPr>
    </w:p>
    <w:p>
      <w:pPr>
        <w:ind w:right="120" w:firstLine="464"/>
        <w:spacing w:after="0" w:line="259" w:lineRule="auto"/>
        <w:tabs>
          <w:tab w:leader="none" w:pos="7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5"/>
          <w:szCs w:val="15"/>
          <w:b w:val="1"/>
          <w:bCs w:val="1"/>
          <w:color w:val="auto"/>
        </w:rPr>
        <w:t>Voting Procedures and Inspectors of Elections.</w:t>
      </w:r>
    </w:p>
    <w:p>
      <w:pPr>
        <w:spacing w:after="0" w:line="121" w:lineRule="exact"/>
        <w:rPr>
          <w:sz w:val="20"/>
          <w:szCs w:val="20"/>
          <w:color w:val="auto"/>
        </w:rPr>
      </w:pPr>
    </w:p>
    <w:p>
      <w:pPr>
        <w:ind w:right="20" w:firstLine="464"/>
        <w:spacing w:after="0" w:line="257"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spacing w:after="0" w:line="188" w:lineRule="exact"/>
        <w:rPr>
          <w:rFonts w:ascii="Arial" w:cs="Arial" w:eastAsia="Arial" w:hAnsi="Arial"/>
          <w:sz w:val="18"/>
          <w:szCs w:val="18"/>
          <w:color w:val="auto"/>
        </w:rPr>
      </w:pPr>
    </w:p>
    <w:p>
      <w:pPr>
        <w:ind w:firstLine="464"/>
        <w:spacing w:after="0" w:line="302" w:lineRule="auto"/>
        <w:tabs>
          <w:tab w:leader="none" w:pos="71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54" w:lineRule="exact"/>
        <w:rPr>
          <w:rFonts w:ascii="Arial" w:cs="Arial" w:eastAsia="Arial" w:hAnsi="Arial"/>
          <w:sz w:val="16"/>
          <w:szCs w:val="16"/>
          <w:color w:val="auto"/>
        </w:rPr>
      </w:pPr>
    </w:p>
    <w:p>
      <w:pPr>
        <w:ind w:right="60" w:firstLine="464"/>
        <w:spacing w:after="0" w:line="264"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82" w:name="page183"/>
    <w:bookmarkEnd w:id="182"/>
    <w:p>
      <w:pPr>
        <w:ind w:firstLine="464"/>
        <w:spacing w:after="0" w:line="270" w:lineRule="auto"/>
        <w:tabs>
          <w:tab w:leader="none" w:pos="711" w:val="left"/>
        </w:tabs>
        <w:numPr>
          <w:ilvl w:val="0"/>
          <w:numId w:val="1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color w:val="auto"/>
        </w:rPr>
        <w:t>List of Stockholders.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officer who has charge of the stock ledger of the corporation shall prepare and make, at least ten days before every meeting of stockholders, a complete list of the stockholders entitled to vote at said meeting,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Stockholder Proposals at Annual Meetings.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specified in the notice of meeting (or any supplement thereto) given by or at the direction of the Board of Directors, otherwise properly brought before the meeting by or at the direction of the Board of Directors, or otherwise properly brought before the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45 days nor more than 75 days prior to the date on which the corporation first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83" w:name="page184"/>
    <w:bookmarkEnd w:id="183"/>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mailed its proxy materials for the previous year’s annual meeting of stockholders (or the date on which the corporation mails its proxy materials for the current year if during the prior year the corporation did not hold an annual meeting or if the date of the annual meeting was changed more than 30 days from the prior year).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and (iv) any material interest of the stockholder in such business.</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Chairman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Nothing in this Section 2.9 shall affect the right of a stockholder to request inclusion of a proposal in the corporation’s proxy statement to the extent that such right is provided by an applicable rule of the Securities and Exchange Commission.</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Nominations of Persons for Election to the Board of Directors.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any other applicable requirements, only persons who are nominated in accordance with the following procedures shall be eligible for election as directors. Nominations of persons for election to the Board of Directors of the corporation may be made at a meeting of stockholders by or at the direction of the Board of Directors, by any nominating committee or person appointed by the Board of Directors or by any stockholder of the corporation entitled to vote for the election of directors at the meeting who complies with the notice procedures set forth in this Section 2.10. Such nominations, other than those made by or at the direction of the Board of Directors, shall be made pursuant to timely notice in writing to the Secretary of the corporation. To be timely, a stockholder’s notice must be delivered to or mailed and received at the principal executive offices of the corporation, not less than 45 days nor more than 75 days prior to the date on which the corporation first mailed its proxy materials for the previous year’s annual meeting of shareholders (or the date on which the corporation mails its proxy materials for the current year if during the prior year the corporation did not hold an annual meeting or if the date of the annual meeting was changed more than 30 days from the prior year). Such stockholder’s notice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84" w:name="page185"/>
    <w:bookmarkEnd w:id="184"/>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and (iv) any other information relating to the person that is required to be disclosed in solicitations for proxies for election of directors pursuant to Rule 14a under the Securities Exchange Act of 1934; and (b) as to the stockholder giving the notice, (i) the name and record address of the stockholder, and</w:t>
      </w:r>
    </w:p>
    <w:p>
      <w:pPr>
        <w:ind w:right="40" w:firstLine="8"/>
        <w:spacing w:after="0" w:line="295" w:lineRule="auto"/>
        <w:tabs>
          <w:tab w:leader="none" w:pos="26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spacing w:after="0" w:line="162"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25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Action Without Meeting.</w:t>
      </w:r>
    </w:p>
    <w:p>
      <w:pPr>
        <w:spacing w:after="0" w:line="121" w:lineRule="exact"/>
        <w:rPr>
          <w:sz w:val="20"/>
          <w:szCs w:val="20"/>
          <w:color w:val="auto"/>
        </w:rPr>
      </w:pPr>
    </w:p>
    <w:p>
      <w:pPr>
        <w:ind w:firstLine="464"/>
        <w:spacing w:after="0" w:line="287" w:lineRule="auto"/>
        <w:tabs>
          <w:tab w:leader="none" w:pos="70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Unless otherwise provided in the Certificate of Incorporation, any action required by statute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are signed by the holders of outstanding stock having not less than the minimum number of votes that would be necessary to authorize or take such action at a meeting at which all shares entitled to vote thereon were present and voted. To be effective, a written consent must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to the corporation, written consents signed by a sufficient number of holders to take action are delivered to the corporation in accordance with this Section. Prompt notice of the taking of the corporate action without a meeting by less than unanimous written consent shall be given to those stockholders who have not consented in writing.</w:t>
      </w:r>
    </w:p>
    <w:p>
      <w:pPr>
        <w:spacing w:after="0" w:line="172" w:lineRule="exact"/>
        <w:rPr>
          <w:rFonts w:ascii="Arial" w:cs="Arial" w:eastAsia="Arial" w:hAnsi="Arial"/>
          <w:sz w:val="16"/>
          <w:szCs w:val="16"/>
          <w:color w:val="auto"/>
        </w:rPr>
      </w:pPr>
    </w:p>
    <w:p>
      <w:pPr>
        <w:ind w:firstLine="464"/>
        <w:spacing w:after="0" w:line="288" w:lineRule="auto"/>
        <w:tabs>
          <w:tab w:leader="none" w:pos="71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 telegram, cablegram or other electronic transmission consent to an action to be taken and transmitted by a stockholder or proxyholder, or by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w:t>
      </w:r>
    </w:p>
    <w:p>
      <w:pPr>
        <w:ind w:right="40" w:firstLine="8"/>
        <w:spacing w:after="0" w:line="302" w:lineRule="auto"/>
        <w:tabs>
          <w:tab w:leader="none" w:pos="21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85" w:name="page186"/>
    <w:bookmarkEnd w:id="18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this State,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67" w:lineRule="exact"/>
        <w:rPr>
          <w:sz w:val="20"/>
          <w:szCs w:val="20"/>
          <w:color w:val="auto"/>
        </w:rPr>
      </w:pPr>
    </w:p>
    <w:p>
      <w:pPr>
        <w:ind w:right="60" w:firstLine="464"/>
        <w:spacing w:after="0" w:line="264" w:lineRule="auto"/>
        <w:tabs>
          <w:tab w:leader="none" w:pos="70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w:t>
      </w:r>
    </w:p>
    <w:p>
      <w:pPr>
        <w:spacing w:after="0" w:line="3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Number and Term of Office.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number of directors of the corporation shall be fixed exclusively by resolutions adopted by a majority of the authorized number of directors constituting the Board of Directors, until changed by amendment of the Certificate of Incorporation or by a Bylaw amending this Section 3.1 duly adopted by the vote or written consent of holders of a majority of the outstanding shares or by the Board of Directors. Subject to the foregoing provisions for changing the number of directors, the initial number of directors of the corporation has been fixed at four.</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With the exception of the first Board of Directors, which shall be elected by the incorporator or incorporators, and except as provided in Section 3.3 of this Article III, the directors shall be elected by a plurality vote of the shares represented in person or by proxy, at the stockholders annual meeting in each year and entitled to vote on the election of directors. Elected directors shall hold office for a three-year term and until their successors shall be duly elected and qualified. Directors need not be stockholders. If, for any cause, the Board of Directors shall not have been elected at an annual meeting, they may be elected as soon thereafter as convenient at a special meeting of the stockholders called for that purpose in the manner provided in these Bylaws.</w:t>
      </w:r>
    </w:p>
    <w:p>
      <w:pPr>
        <w:spacing w:after="0" w:line="26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Powers.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powers of the corporation shall be exercised, its business conducted and its property controlled by or under the direction of the Board of Directors.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86" w:name="page187"/>
    <w:bookmarkEnd w:id="186"/>
    <w:p>
      <w:pPr>
        <w:spacing w:after="0"/>
        <w:tabs>
          <w:tab w:leader="none" w:pos="1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w:t>
      </w:r>
      <w:r>
        <w:rPr>
          <w:sz w:val="20"/>
          <w:szCs w:val="20"/>
          <w:color w:val="auto"/>
        </w:rPr>
        <w:tab/>
      </w:r>
      <w:r>
        <w:rPr>
          <w:rFonts w:ascii="Arial" w:cs="Arial" w:eastAsia="Arial" w:hAnsi="Arial"/>
          <w:sz w:val="15"/>
          <w:szCs w:val="15"/>
          <w:b w:val="1"/>
          <w:bCs w:val="1"/>
          <w:color w:val="auto"/>
        </w:rPr>
        <w:t>Vacancies.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w:t>
      </w:r>
    </w:p>
    <w:p>
      <w:pPr>
        <w:spacing w:after="0" w:line="26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5"/>
          <w:szCs w:val="15"/>
          <w:b w:val="1"/>
          <w:bCs w:val="1"/>
          <w:color w:val="auto"/>
        </w:rPr>
        <w:t>Resignations and Removals.</w:t>
      </w:r>
    </w:p>
    <w:p>
      <w:pPr>
        <w:spacing w:after="0" w:line="121" w:lineRule="exact"/>
        <w:rPr>
          <w:sz w:val="20"/>
          <w:szCs w:val="20"/>
          <w:color w:val="auto"/>
        </w:rPr>
      </w:pPr>
    </w:p>
    <w:p>
      <w:pPr>
        <w:ind w:right="60" w:firstLine="464"/>
        <w:spacing w:after="0" w:line="273" w:lineRule="auto"/>
        <w:tabs>
          <w:tab w:leader="none" w:pos="70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director may resign at any time by delivering his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8" w:lineRule="exact"/>
        <w:rPr>
          <w:rFonts w:ascii="Arial" w:cs="Arial" w:eastAsia="Arial" w:hAnsi="Arial"/>
          <w:sz w:val="17"/>
          <w:szCs w:val="17"/>
          <w:color w:val="auto"/>
        </w:rPr>
      </w:pPr>
    </w:p>
    <w:p>
      <w:pPr>
        <w:jc w:val="both"/>
        <w:ind w:right="200" w:firstLine="464"/>
        <w:spacing w:after="0" w:line="264"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Unless the Certificate of Incorporation otherwise provides, if the Board of Directors is classified, shareholders may effect removal only for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cause.</w:t>
      </w:r>
    </w:p>
    <w:p>
      <w:pPr>
        <w:spacing w:after="0" w:line="102" w:lineRule="exact"/>
        <w:rPr>
          <w:rFonts w:ascii="Arial" w:cs="Arial" w:eastAsia="Arial" w:hAnsi="Arial"/>
          <w:sz w:val="16"/>
          <w:szCs w:val="16"/>
          <w:color w:val="auto"/>
        </w:rPr>
      </w:pPr>
    </w:p>
    <w:p>
      <w:pPr>
        <w:ind w:left="460" w:right="400" w:firstLine="443"/>
        <w:spacing w:after="0" w:line="308" w:lineRule="auto"/>
        <w:tabs>
          <w:tab w:leader="none" w:pos="115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If the corporation has cumulative voting for directors, if less than the entire board is to be removed, no director may be removed without cause if the votes cast against his removal would be sufficient to elect him if voted cumulatively at an election of the entire board.</w:t>
      </w:r>
    </w:p>
    <w:p>
      <w:pPr>
        <w:spacing w:after="0" w:line="25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color w:val="auto"/>
        </w:rPr>
        <w:t>Meetings.</w:t>
      </w:r>
    </w:p>
    <w:p>
      <w:pPr>
        <w:spacing w:after="0" w:line="121" w:lineRule="exact"/>
        <w:rPr>
          <w:sz w:val="20"/>
          <w:szCs w:val="20"/>
          <w:color w:val="auto"/>
        </w:rPr>
      </w:pPr>
    </w:p>
    <w:p>
      <w:pPr>
        <w:ind w:right="20" w:firstLine="464"/>
        <w:spacing w:after="0" w:line="286" w:lineRule="auto"/>
        <w:tabs>
          <w:tab w:leader="none" w:pos="70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spacing w:after="0" w:line="165" w:lineRule="exact"/>
        <w:rPr>
          <w:rFonts w:ascii="Arial" w:cs="Arial" w:eastAsia="Arial" w:hAnsi="Arial"/>
          <w:sz w:val="17"/>
          <w:szCs w:val="17"/>
          <w:color w:val="auto"/>
        </w:rPr>
      </w:pPr>
    </w:p>
    <w:p>
      <w:pPr>
        <w:ind w:right="320" w:firstLine="464"/>
        <w:spacing w:after="0" w:line="277" w:lineRule="auto"/>
        <w:tabs>
          <w:tab w:leader="none" w:pos="7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hereinafter otherwise provided, regular meetings of the Board of Directors shall be held in the office of the corporation required to be maintained pursuant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87" w:name="page188"/>
    <w:bookmarkEnd w:id="18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 of Article I hereof. Regular meetings of the Board of Directors may also be held at any place, within or without the State of Delaware, which has been designated by resolutions of the Board of Directors or the written consent of all directors.</w:t>
      </w:r>
    </w:p>
    <w:p>
      <w:pPr>
        <w:spacing w:after="0" w:line="170" w:lineRule="exact"/>
        <w:rPr>
          <w:sz w:val="20"/>
          <w:szCs w:val="20"/>
          <w:color w:val="auto"/>
        </w:rPr>
      </w:pPr>
    </w:p>
    <w:p>
      <w:pPr>
        <w:ind w:right="520" w:firstLine="464"/>
        <w:spacing w:after="0" w:line="277" w:lineRule="auto"/>
        <w:tabs>
          <w:tab w:leader="none" w:pos="70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Special meetings of the Board of Directors may be held at any time and place within or without the State of Delaware whenever called by the Chairman of the Board or, if there is no Chairman of the Board, by the President, or by any of the directors.</w:t>
      </w:r>
    </w:p>
    <w:p>
      <w:pPr>
        <w:spacing w:after="0" w:line="170"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Written notice of the time and place of all regular and special meetings of the Board of Directors shall be delivered personally to each director or sent by telegram or facsimile transmission or other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spacing w:after="0" w:line="29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Quorum and Voting.</w:t>
      </w:r>
    </w:p>
    <w:p>
      <w:pPr>
        <w:spacing w:after="0" w:line="121" w:lineRule="exact"/>
        <w:rPr>
          <w:sz w:val="20"/>
          <w:szCs w:val="20"/>
          <w:color w:val="auto"/>
        </w:rPr>
      </w:pPr>
    </w:p>
    <w:p>
      <w:pPr>
        <w:ind w:right="200" w:firstLine="464"/>
        <w:spacing w:after="0" w:line="259" w:lineRule="auto"/>
        <w:tabs>
          <w:tab w:leader="none" w:pos="7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quorum of the Board of Directors shall consist of a majority of the exact number of directors fixed from time to time in accordance with Section 3.1 of Article III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6"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each meeting of the Board at which a quorum is present, all questions and business shall be determined by a vote of a majority of the directors present, unless a different vote be required by law, the Certificate of Incorporation, or these Bylaws.</w:t>
      </w:r>
    </w:p>
    <w:p>
      <w:pPr>
        <w:spacing w:after="0" w:line="170" w:lineRule="exact"/>
        <w:rPr>
          <w:rFonts w:ascii="Arial" w:cs="Arial" w:eastAsia="Arial" w:hAnsi="Arial"/>
          <w:sz w:val="18"/>
          <w:szCs w:val="18"/>
          <w:color w:val="auto"/>
        </w:rPr>
      </w:pPr>
    </w:p>
    <w:p>
      <w:pPr>
        <w:ind w:right="60" w:firstLine="464"/>
        <w:spacing w:after="0" w:line="264" w:lineRule="auto"/>
        <w:tabs>
          <w:tab w:leader="none" w:pos="7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spacing w:after="0" w:line="181" w:lineRule="exact"/>
        <w:rPr>
          <w:rFonts w:ascii="Arial" w:cs="Arial" w:eastAsia="Arial" w:hAnsi="Arial"/>
          <w:sz w:val="18"/>
          <w:szCs w:val="18"/>
          <w:color w:val="auto"/>
        </w:rPr>
      </w:pPr>
    </w:p>
    <w:p>
      <w:pPr>
        <w:ind w:right="120" w:firstLine="464"/>
        <w:spacing w:after="0" w:line="279" w:lineRule="auto"/>
        <w:tabs>
          <w:tab w:leader="none" w:pos="71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27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Action Without Meeting.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of such committee, as the case may be, consent thereto in writing or by electronic transmission, and such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88" w:name="page189"/>
    <w:bookmarkEnd w:id="188"/>
    <w:p>
      <w:pPr>
        <w:spacing w:after="0"/>
        <w:tabs>
          <w:tab w:leader="none" w:pos="1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3.8</w:t>
      </w:r>
      <w:r>
        <w:rPr>
          <w:sz w:val="20"/>
          <w:szCs w:val="20"/>
          <w:color w:val="auto"/>
        </w:rPr>
        <w:tab/>
      </w:r>
      <w:r>
        <w:rPr>
          <w:rFonts w:ascii="Arial" w:cs="Arial" w:eastAsia="Arial" w:hAnsi="Arial"/>
          <w:sz w:val="15"/>
          <w:szCs w:val="15"/>
          <w:b w:val="1"/>
          <w:bCs w:val="1"/>
          <w:color w:val="auto"/>
        </w:rPr>
        <w:t>Fees and Compensation.</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Directors and members of committees may receive such compensation, if any, for their services, and such reimbursement for expenses, as may be fixed or determined by resolution of the Board of Directors.</w:t>
      </w:r>
    </w:p>
    <w:p>
      <w:pPr>
        <w:spacing w:after="0" w:line="27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5"/>
          <w:szCs w:val="15"/>
          <w:b w:val="1"/>
          <w:bCs w:val="1"/>
          <w:color w:val="auto"/>
        </w:rPr>
        <w:t>Committees.</w:t>
      </w:r>
    </w:p>
    <w:p>
      <w:pPr>
        <w:spacing w:after="0" w:line="117" w:lineRule="exact"/>
        <w:rPr>
          <w:sz w:val="20"/>
          <w:szCs w:val="20"/>
          <w:color w:val="auto"/>
        </w:rPr>
      </w:pPr>
    </w:p>
    <w:p>
      <w:pPr>
        <w:ind w:firstLine="464"/>
        <w:spacing w:after="0" w:line="303" w:lineRule="auto"/>
        <w:tabs>
          <w:tab w:leader="none" w:pos="701"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of not less than one member, each of whom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The Executive Committee, to the extent permitted by law, shall have and may exercise when the Board of Directors is not in session all powers of the Board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spacing w:after="0" w:line="151" w:lineRule="exact"/>
        <w:rPr>
          <w:rFonts w:ascii="Arial" w:cs="Arial" w:eastAsia="Arial" w:hAnsi="Arial"/>
          <w:sz w:val="16"/>
          <w:szCs w:val="16"/>
          <w:color w:val="auto"/>
        </w:rPr>
      </w:pPr>
    </w:p>
    <w:p>
      <w:pPr>
        <w:ind w:right="140" w:firstLine="464"/>
        <w:spacing w:after="0" w:line="261"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by resolution passed by a majority of the whole Board, from time to time appoint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may be 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spacing w:after="0" w:line="180" w:lineRule="exact"/>
        <w:rPr>
          <w:rFonts w:ascii="Arial" w:cs="Arial" w:eastAsia="Arial" w:hAnsi="Arial"/>
          <w:sz w:val="18"/>
          <w:szCs w:val="18"/>
          <w:color w:val="auto"/>
        </w:rPr>
      </w:pPr>
    </w:p>
    <w:p>
      <w:pPr>
        <w:ind w:right="100" w:firstLine="464"/>
        <w:spacing w:after="0" w:line="290" w:lineRule="auto"/>
        <w:tabs>
          <w:tab w:leader="none" w:pos="701"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members of all committees of the Board of Directors shall serve a term coexistent with that of the Board of Directors which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such committee. The Board, subject to the provisions of subsections (a) or (b) of this Section 3.9, may at any time increase or decrease the number of members of a committee or terminate the existence of a committee; provided that no committee shall consist of less than one member. The membership of a committee member shall terminate on the date of his death or voluntary resignation, but the Board may at any time for any reason remove any individual committee member and the Board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59" w:lineRule="exact"/>
        <w:rPr>
          <w:rFonts w:ascii="Arial" w:cs="Arial" w:eastAsia="Arial" w:hAnsi="Arial"/>
          <w:sz w:val="16"/>
          <w:szCs w:val="16"/>
          <w:color w:val="auto"/>
        </w:rPr>
      </w:pPr>
    </w:p>
    <w:p>
      <w:pPr>
        <w:ind w:right="180" w:firstLine="464"/>
        <w:spacing w:after="0" w:line="314" w:lineRule="auto"/>
        <w:tabs>
          <w:tab w:leader="none" w:pos="711"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Unless the Board of Directors shall otherwise provide, regular meetings of the Executive Committee or any other committee appointed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89" w:name="page190"/>
    <w:bookmarkEnd w:id="18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such committee may be held at the principal office of the corporation required to be maintained pursuant to Section 1.2 of Article I hereof;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Officers Designated.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officers of the corporation shall be a President, a Secretary and a Treasurer. The Board of Directors or the President may also appoint a Chairman of the Board, one or more Vice-Presidents, assistant secretaries, assistant treasurers, and such other officers and agents with such powers and duties as it or he shall deem necessary. The order of the seniority of the Vice-Presidents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Tenure and Duties of Officers.</w:t>
      </w:r>
    </w:p>
    <w:p>
      <w:pPr>
        <w:spacing w:after="0" w:line="117" w:lineRule="exact"/>
        <w:rPr>
          <w:sz w:val="20"/>
          <w:szCs w:val="20"/>
          <w:color w:val="auto"/>
        </w:rPr>
      </w:pPr>
    </w:p>
    <w:p>
      <w:pPr>
        <w:jc w:val="both"/>
        <w:ind w:firstLine="464"/>
        <w:spacing w:after="0" w:line="261"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All officers shall hold office at the pleasure of the Board of Directors and until their successors shall have been duly elected and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spacing w:after="0" w:line="180" w:lineRule="exact"/>
        <w:rPr>
          <w:rFonts w:ascii="Arial" w:cs="Arial" w:eastAsia="Arial" w:hAnsi="Arial"/>
          <w:sz w:val="18"/>
          <w:szCs w:val="18"/>
          <w:color w:val="auto"/>
        </w:rPr>
      </w:pPr>
    </w:p>
    <w:p>
      <w:pPr>
        <w:jc w:val="both"/>
        <w:ind w:right="40" w:firstLine="464"/>
        <w:spacing w:after="0" w:line="266"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(if there be such an officer appointed) when present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preside at all meetings of the stockholders and the Board of Directors. The Chairman of the Board of Directors shall perform such other duties and have such other powers as the Board of Directors shall designate from time to time.</w:t>
      </w:r>
    </w:p>
    <w:p>
      <w:pPr>
        <w:spacing w:after="0" w:line="176" w:lineRule="exact"/>
        <w:rPr>
          <w:rFonts w:ascii="Arial" w:cs="Arial" w:eastAsia="Arial" w:hAnsi="Arial"/>
          <w:sz w:val="18"/>
          <w:szCs w:val="18"/>
          <w:color w:val="auto"/>
        </w:rPr>
      </w:pPr>
    </w:p>
    <w:p>
      <w:pPr>
        <w:ind w:firstLine="464"/>
        <w:spacing w:after="0" w:line="266"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 xml:space="preserve">Duties of President: </w:t>
      </w:r>
      <w:r>
        <w:rPr>
          <w:rFonts w:ascii="Arial" w:cs="Arial" w:eastAsia="Arial" w:hAnsi="Arial"/>
          <w:sz w:val="18"/>
          <w:szCs w:val="18"/>
          <w:color w:val="auto"/>
        </w:rPr>
        <w:t>The President shall preside at all meetings of the stockholders and at all meetings of the Board of Directors,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of Directors has been appointed and is present. The President shall perform such other duties and have such other powers as the Board of Directors shall designate from time to time.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90" w:name="page191"/>
    <w:bookmarkEnd w:id="190"/>
    <w:p>
      <w:pPr>
        <w:ind w:right="20" w:firstLine="464"/>
        <w:spacing w:after="0" w:line="266"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Duties of Vice-Presidents: </w:t>
      </w:r>
      <w:r>
        <w:rPr>
          <w:rFonts w:ascii="Arial" w:cs="Arial" w:eastAsia="Arial" w:hAnsi="Arial"/>
          <w:sz w:val="18"/>
          <w:szCs w:val="18"/>
          <w:color w:val="auto"/>
        </w:rPr>
        <w:t>The Vice-Presidents, in the order of their seniority, may assume and perform the duties of the President in the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or disability of the President or whenever the office of the President is vacant. The Vice-President shall perform such other duties and have such other powers as the Board of Directors or the President shall designate from time to time.</w:t>
      </w:r>
    </w:p>
    <w:p>
      <w:pPr>
        <w:spacing w:after="0" w:line="176" w:lineRule="exact"/>
        <w:rPr>
          <w:rFonts w:ascii="Arial" w:cs="Arial" w:eastAsia="Arial" w:hAnsi="Arial"/>
          <w:sz w:val="18"/>
          <w:szCs w:val="18"/>
          <w:color w:val="auto"/>
        </w:rPr>
      </w:pPr>
    </w:p>
    <w:p>
      <w:pPr>
        <w:ind w:firstLine="464"/>
        <w:spacing w:after="0" w:line="295" w:lineRule="auto"/>
        <w:tabs>
          <w:tab w:leader="none" w:pos="701"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any committee thereof,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record 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spacing w:after="0" w:line="155" w:lineRule="exact"/>
        <w:rPr>
          <w:rFonts w:ascii="Arial" w:cs="Arial" w:eastAsia="Arial" w:hAnsi="Arial"/>
          <w:sz w:val="16"/>
          <w:szCs w:val="16"/>
          <w:color w:val="auto"/>
        </w:rPr>
      </w:pPr>
    </w:p>
    <w:p>
      <w:pPr>
        <w:ind w:right="60" w:firstLine="464"/>
        <w:spacing w:after="0" w:line="255" w:lineRule="auto"/>
        <w:tabs>
          <w:tab w:leader="none" w:pos="681"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Duties of Treasurer: </w:t>
      </w:r>
      <w:r>
        <w:rPr>
          <w:rFonts w:ascii="Arial" w:cs="Arial" w:eastAsia="Arial" w:hAnsi="Arial"/>
          <w:sz w:val="18"/>
          <w:szCs w:val="18"/>
          <w:color w:val="auto"/>
        </w:rPr>
        <w:t>The Treasurer shall keep or cause to be kept the books of account of the corporation in a thorough and proper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render statements of the financial affairs of the corporation in such form and as often as required by the Board of Directors or the President. The Treasurer, subject to the order of the Board of Directors, shall have the custody of all funds and securities of the corporation. The Treasurer shall perform all other duties commonly incident to his office and shall perform such other duties and have such other powers as the Board of Directors or the President shall designate from time to time. The President may direct any assistant treasurer to assume and perform the duties of the Treasurer in the absence or disability of the Treasurer, and each assistant treasurer shall perform such other duties and have such other powers as the Board of Directors or the President shall designate from time to time.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Execution of Corporate Instruments,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of Securities Owned by the Corporation</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Execution of Corporate Instruments.</w:t>
      </w:r>
    </w:p>
    <w:p>
      <w:pPr>
        <w:spacing w:after="0" w:line="121" w:lineRule="exact"/>
        <w:rPr>
          <w:sz w:val="20"/>
          <w:szCs w:val="20"/>
          <w:color w:val="auto"/>
        </w:rPr>
      </w:pPr>
    </w:p>
    <w:p>
      <w:pPr>
        <w:ind w:right="40" w:firstLine="464"/>
        <w:spacing w:after="0" w:line="264" w:lineRule="auto"/>
        <w:tabs>
          <w:tab w:leader="none" w:pos="70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spacing w:after="0" w:line="181" w:lineRule="exact"/>
        <w:rPr>
          <w:rFonts w:ascii="Arial" w:cs="Arial" w:eastAsia="Arial" w:hAnsi="Arial"/>
          <w:sz w:val="18"/>
          <w:szCs w:val="18"/>
          <w:color w:val="auto"/>
        </w:rPr>
      </w:pPr>
    </w:p>
    <w:p>
      <w:pPr>
        <w:ind w:right="220" w:firstLine="464"/>
        <w:spacing w:after="0" w:line="308" w:lineRule="auto"/>
        <w:tabs>
          <w:tab w:leader="none" w:pos="7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Unless otherwise specifically determined by the Board of Directors or otherwise required by law, formal contracts of the corporation, promissory notes, deeds of trust, mortgages and other evidences of indebtedness of the corporation, and other corporate instruments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191" w:name="page192"/>
    <w:bookmarkEnd w:id="19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requiring the corporate seal, and certificates of shares of stock owned by the corporation, shall be executed, signed or endorsed by the Chairman of the Board (if there be such an officer appointed) or by the President; such documents may also be executed by any Vice-President and by the Secretary or Treasurer or any assistant secretary or assistant treasurer. All other instruments and documents requiring the corporate signature but not requiring the corporate seal may be executed as aforesaid or in such other manner as may be directed by the Board of Directors.</w:t>
      </w:r>
    </w:p>
    <w:p>
      <w:pPr>
        <w:spacing w:after="0" w:line="171" w:lineRule="exact"/>
        <w:rPr>
          <w:sz w:val="20"/>
          <w:szCs w:val="20"/>
          <w:color w:val="auto"/>
        </w:rPr>
      </w:pPr>
    </w:p>
    <w:p>
      <w:pPr>
        <w:ind w:right="20" w:firstLine="464"/>
        <w:spacing w:after="0" w:line="277" w:lineRule="auto"/>
        <w:tabs>
          <w:tab w:leader="none" w:pos="7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Execution of any corporate instrument may be effected in such form, either manual, facsimile or electronic signature, as may be authorized by the Board of Directors.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Voting of Securities Owned by Corporation.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President, or by any Vice-President.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Form and Execution of Certificates.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represented by certificates shall be entitled to have a certificate signed by, or in the name of the corporation by, the Chairman of the Board (if there be such an officer appointed), or by the President or any Vice-President and by the Treasurer or assistant treasurer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2" w:name="page193"/>
    <w:bookmarkEnd w:id="19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Lost Certificates.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Board of Directors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color w:val="auto"/>
        </w:rPr>
        <w:t>Transfers.</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upon the surrender of a certificate or certificates for a like number of shares, properly endorsed.</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color w:val="auto"/>
        </w:rPr>
        <w:t>Fixing Record Dates.</w:t>
      </w:r>
    </w:p>
    <w:p>
      <w:pPr>
        <w:spacing w:after="0" w:line="121" w:lineRule="exact"/>
        <w:rPr>
          <w:sz w:val="20"/>
          <w:szCs w:val="20"/>
          <w:color w:val="auto"/>
        </w:rPr>
      </w:pPr>
    </w:p>
    <w:p>
      <w:pPr>
        <w:ind w:right="40" w:firstLine="464"/>
        <w:spacing w:after="0" w:line="272" w:lineRule="auto"/>
        <w:tabs>
          <w:tab w:leader="none" w:pos="70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spacing w:after="0" w:line="177" w:lineRule="exact"/>
        <w:rPr>
          <w:rFonts w:ascii="Arial" w:cs="Arial" w:eastAsia="Arial" w:hAnsi="Arial"/>
          <w:sz w:val="17"/>
          <w:szCs w:val="17"/>
          <w:color w:val="auto"/>
        </w:rPr>
      </w:pPr>
    </w:p>
    <w:p>
      <w:pPr>
        <w:ind w:right="80" w:firstLine="464"/>
        <w:spacing w:after="0" w:line="264" w:lineRule="auto"/>
        <w:tabs>
          <w:tab w:leader="none" w:pos="7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consent to corporate action in writing or by electronic transmission without a meeting, the Board of Directors may fix a record date, which record date shall not precede the date upon which the resolution fixing the record date is adopted by the Board of Directors, and which date shall not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3" w:name="page194"/>
    <w:bookmarkEnd w:id="19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more than 10 days after the date upon which the resolution fixing the record date is adopted by the Board of Directors. If no record date has been fixed by the Board of Directors, the record date for determining stockholders entitled to consent to corporate action in writing or by electronic transmission without a meeting, when no prior action by the Board of Directors is required by the Delaware General Corporation Law, shall be the first date on which a signed written consent or electronic transmission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provided that any such electronic transmission shall satisfy the requirements of Section 2.11(b) and, unless the Board of Directors otherwise provides by resolution, no such consent by electronic transmission shall be deemed to have been delivered until such consent is reproduced in paper form and until such paper form shall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or by electronic transmission without a meeting shall be at the close of business on the day on which the Board of Directors adopts the resolution taking such prior action.</w:t>
      </w:r>
    </w:p>
    <w:p>
      <w:pPr>
        <w:spacing w:after="0" w:line="188" w:lineRule="exact"/>
        <w:rPr>
          <w:sz w:val="20"/>
          <w:szCs w:val="20"/>
          <w:color w:val="auto"/>
        </w:rPr>
      </w:pPr>
    </w:p>
    <w:p>
      <w:pPr>
        <w:ind w:right="40" w:firstLine="464"/>
        <w:spacing w:after="0" w:line="276" w:lineRule="auto"/>
        <w:tabs>
          <w:tab w:leader="none" w:pos="70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5"/>
          <w:szCs w:val="15"/>
          <w:b w:val="1"/>
          <w:bCs w:val="1"/>
          <w:color w:val="auto"/>
        </w:rPr>
        <w:t>Registered Stockholders.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All bonds, debentures and other corporate securities of the corporation, other than stock certificates, may be signed by the Chairman of the Board (if there be such an officer appointed), or the President or any Vice-President or such other person as may be authorized by the Board of Directors and the corporate seal impressed thereon or a facsimile of such seal imprinted thereon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4" w:name="page195"/>
    <w:bookmarkEnd w:id="19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Officers, Directors, Employees and Agents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Right to Indemnification.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he, or a person of whom he is the legal representative, is or was a director or officer of the corporation or is or was serving at the request of the corporation as a director or officer of another corporation or of a partnership, joint venture, trust, or other enterprise, including service with respect to employee benefit plans, whether the basis of the Proceeding is alleged action in an official capacity as a director or officer or in any other capacity while serving as a director or officer,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director or officer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to actions to enforce indemnification rights pursuant to Section 8.3 of this Article, the corporation shall indemnify any director or officer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5" w:name="page196"/>
    <w:bookmarkEnd w:id="195"/>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8.2</w:t>
      </w:r>
      <w:r>
        <w:rPr>
          <w:sz w:val="20"/>
          <w:szCs w:val="20"/>
          <w:color w:val="auto"/>
        </w:rPr>
        <w:tab/>
      </w:r>
      <w:r>
        <w:rPr>
          <w:rFonts w:ascii="Arial" w:cs="Arial" w:eastAsia="Arial" w:hAnsi="Arial"/>
          <w:sz w:val="16"/>
          <w:szCs w:val="16"/>
          <w:b w:val="1"/>
          <w:bCs w:val="1"/>
          <w:color w:val="auto"/>
        </w:rPr>
        <w:t>Authority to Advance Expenses.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Expenses incurred by an officer or director (acting in his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employees or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color w:val="auto"/>
        </w:rPr>
        <w:t>Right of Claimant to Bring Suit.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 claim under Section 8.1 or 8.2 of this Article is not paid in full by the corporation within 90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5"/>
          <w:szCs w:val="15"/>
          <w:b w:val="1"/>
          <w:bCs w:val="1"/>
          <w:color w:val="auto"/>
        </w:rPr>
        <w:t>Provisions Nonexclusive.</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196" w:name="page197"/>
    <w:bookmarkEnd w:id="196"/>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8.5</w:t>
      </w:r>
      <w:r>
        <w:rPr>
          <w:sz w:val="20"/>
          <w:szCs w:val="20"/>
          <w:color w:val="auto"/>
        </w:rPr>
        <w:tab/>
      </w:r>
      <w:r>
        <w:rPr>
          <w:rFonts w:ascii="Arial" w:cs="Arial" w:eastAsia="Arial" w:hAnsi="Arial"/>
          <w:sz w:val="16"/>
          <w:szCs w:val="16"/>
          <w:b w:val="1"/>
          <w:bCs w:val="1"/>
          <w:color w:val="auto"/>
        </w:rPr>
        <w:t>Authority to Insure.</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corporation may purchase and maintain insurance to protect itself and any director, officer, employee or agent (hereafter an “Agent”) against any Expense, whether or not the corporation would have the power to indemnify the Agent against such Expense under applicable law or the provisions of this Article.</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6"/>
          <w:szCs w:val="16"/>
          <w:b w:val="1"/>
          <w:bCs w:val="1"/>
          <w:color w:val="auto"/>
        </w:rPr>
        <w:t>Survival of Rights.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rights provided by this Article shall continue as to a person who has ceased to be an Agent and shall inure to the benefit of the heirs, executors, and administrators of such a person.</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8.7</w:t>
      </w:r>
      <w:r>
        <w:rPr>
          <w:sz w:val="20"/>
          <w:szCs w:val="20"/>
          <w:color w:val="auto"/>
        </w:rPr>
        <w:tab/>
      </w:r>
      <w:r>
        <w:rPr>
          <w:rFonts w:ascii="Arial" w:cs="Arial" w:eastAsia="Arial" w:hAnsi="Arial"/>
          <w:sz w:val="16"/>
          <w:szCs w:val="16"/>
          <w:b w:val="1"/>
          <w:bCs w:val="1"/>
          <w:color w:val="auto"/>
        </w:rPr>
        <w:t>Settlement of Claims.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8.8</w:t>
      </w:r>
      <w:r>
        <w:rPr>
          <w:sz w:val="20"/>
          <w:szCs w:val="20"/>
          <w:color w:val="auto"/>
        </w:rPr>
        <w:tab/>
      </w:r>
      <w:r>
        <w:rPr>
          <w:rFonts w:ascii="Arial" w:cs="Arial" w:eastAsia="Arial" w:hAnsi="Arial"/>
          <w:sz w:val="16"/>
          <w:szCs w:val="16"/>
          <w:b w:val="1"/>
          <w:bCs w:val="1"/>
          <w:color w:val="auto"/>
        </w:rPr>
        <w:t>Effect of Amendment.</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Any amendment, repeal, or modification of this Article shall not adversely affect any right or protection of any Agent existing at the time of such amendment, repeal, or modification.</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8.9</w:t>
      </w:r>
      <w:r>
        <w:rPr>
          <w:sz w:val="20"/>
          <w:szCs w:val="20"/>
          <w:color w:val="auto"/>
        </w:rPr>
        <w:tab/>
      </w:r>
      <w:r>
        <w:rPr>
          <w:rFonts w:ascii="Arial" w:cs="Arial" w:eastAsia="Arial" w:hAnsi="Arial"/>
          <w:sz w:val="16"/>
          <w:szCs w:val="16"/>
          <w:b w:val="1"/>
          <w:bCs w:val="1"/>
          <w:color w:val="auto"/>
        </w:rPr>
        <w:t>Subrogation.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8.10</w:t>
      </w:r>
      <w:r>
        <w:rPr>
          <w:sz w:val="20"/>
          <w:szCs w:val="20"/>
          <w:color w:val="auto"/>
        </w:rPr>
        <w:tab/>
      </w:r>
      <w:r>
        <w:rPr>
          <w:rFonts w:ascii="Arial" w:cs="Arial" w:eastAsia="Arial" w:hAnsi="Arial"/>
          <w:sz w:val="16"/>
          <w:szCs w:val="16"/>
          <w:b w:val="1"/>
          <w:bCs w:val="1"/>
          <w:color w:val="auto"/>
        </w:rPr>
        <w:t>No Duplication of Payments.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Whenever, under any provisions of these Bylaws, notice is required to be given to any stockholder, the same shall be given either (1) in writing, timely and duly deposited in the United States Mail, postage prepaid, and addressed to his last known post office address as shown by the stock record of the corporation or its transfer agent, or (2) by a means of electronic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197" w:name="page198"/>
    <w:bookmarkEnd w:id="19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office of the corporation required to be maintained pursuant to Section 1.2 of Article I hereof.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These Bylaws may be repealed, altered or amended or new Bylaws adopted by written consent of stockholders in the manner authorized by Section 2.11 of Article II, or at any meeting of the stockholders, either annual or special, by the affirmative vote of a majority of the stock</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98" w:name="page199"/>
    <w:bookmarkEnd w:id="198"/>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vote at such meeting, unless a larger vote is required by these Bylaws or the Certificate of Incorporation.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 and provided that the Board of Directors shall not make or alter any Bylaws fixing the qualifications, classifications, or term of office of directors.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33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Right of First Refusal.</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No stockholder shall sell, assign, pledge, or in any manner transfer any of the shares of Common Stock of the corporation or any right or interest therein, whether voluntarily or by operation of law, or by gift or otherwise, except by a transfer which meets the requirements hereinafter set forth in this bylaw:</w:t>
      </w:r>
    </w:p>
    <w:p>
      <w:pPr>
        <w:spacing w:after="0" w:line="181" w:lineRule="exact"/>
        <w:rPr>
          <w:sz w:val="20"/>
          <w:szCs w:val="20"/>
          <w:color w:val="auto"/>
        </w:rPr>
      </w:pPr>
    </w:p>
    <w:p>
      <w:pPr>
        <w:ind w:right="320" w:firstLine="464"/>
        <w:spacing w:after="0" w:line="264"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stockholder receives from anyone a bona fide offer acceptable to the stockholder to purchase any of his shares of Common Stock, then the stockholder shall first give written notice thereof to the corporation. The notice shall name the proposed transferee and state the number of shares to be transferred, the price per share and all other terms and conditions of the offer.</w:t>
      </w:r>
    </w:p>
    <w:p>
      <w:pPr>
        <w:spacing w:after="0" w:line="181" w:lineRule="exact"/>
        <w:rPr>
          <w:rFonts w:ascii="Arial" w:cs="Arial" w:eastAsia="Arial" w:hAnsi="Arial"/>
          <w:sz w:val="18"/>
          <w:szCs w:val="18"/>
          <w:color w:val="auto"/>
        </w:rPr>
      </w:pPr>
    </w:p>
    <w:p>
      <w:pPr>
        <w:ind w:right="180" w:firstLine="464"/>
        <w:spacing w:after="0" w:line="312" w:lineRule="auto"/>
        <w:tabs>
          <w:tab w:leader="none" w:pos="7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For fifteen (15) days following receipt of such notice, the corporation or its assigns shall have the option to purchase all or any lesser part of the shares specified in the notice at the price and upon the terms set forth in such bona fide offer. In the event the corporation elects to purchase all the shares, it shall give written notice to the selling stockholder of its election and settlement for said shares shall be made as provided below in paragraph (c).</w:t>
      </w:r>
    </w:p>
    <w:p>
      <w:pPr>
        <w:spacing w:after="0" w:line="146" w:lineRule="exact"/>
        <w:rPr>
          <w:rFonts w:ascii="Arial" w:cs="Arial" w:eastAsia="Arial" w:hAnsi="Arial"/>
          <w:sz w:val="16"/>
          <w:szCs w:val="16"/>
          <w:color w:val="auto"/>
        </w:rPr>
      </w:pPr>
    </w:p>
    <w:p>
      <w:pPr>
        <w:ind w:right="200" w:firstLine="464"/>
        <w:spacing w:after="0" w:line="302" w:lineRule="auto"/>
        <w:tabs>
          <w:tab w:leader="none" w:pos="70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the corporation elects to acquire any of the shares of the selling stockholder as specified in said selling stockholder’s notice, the Secretary of the corporation shall so notify the selling stockholder and settlement thereof shall be made in cash within thirty (30) days after the Secretary of the corporation receives said selling stockholder’s notice; provided that if the terms of payment set forth in said selling stockholder’s notice were other than cash against delivery, the corporation shall pay for said shares on the same terms and conditions set forth in said selling stockholder’s notice.</w:t>
      </w:r>
    </w:p>
    <w:p>
      <w:pPr>
        <w:spacing w:after="0" w:line="154" w:lineRule="exact"/>
        <w:rPr>
          <w:rFonts w:ascii="Arial" w:cs="Arial" w:eastAsia="Arial" w:hAnsi="Arial"/>
          <w:sz w:val="16"/>
          <w:szCs w:val="16"/>
          <w:color w:val="auto"/>
        </w:rPr>
      </w:pPr>
    </w:p>
    <w:p>
      <w:pPr>
        <w:ind w:firstLine="464"/>
        <w:spacing w:after="0" w:line="297" w:lineRule="auto"/>
        <w:tabs>
          <w:tab w:leader="none" w:pos="7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the corporation does not elect to acquire all of the shares specified in the selling stockholder’s notice, said selling stockholder may, within the sixty (60) day period following the expiration of the option rights granted to the corporation, sell elsewhere the shares specified in said selling stockholder’s notice which were not acquired by the corporation, in accordance with the provisions of paragraph (c) of this bylaw, provided that said sale shall not be on terms and conditions more favorable to the purchaser than those contained in the bona fide offer set forth in said selling stockholder’s notice. All shares so sold by said selling stockholder shall continue to be subject to the provisions of this bylaw in the same manner as before said transfer.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99" w:name="page200"/>
    <w:bookmarkEnd w:id="199"/>
    <w:p>
      <w:pPr>
        <w:ind w:left="660" w:hanging="236"/>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to the contrary contained herein notwithstanding, the following transactions shall be exempt from the provisions of this bylaw:</w:t>
      </w:r>
    </w:p>
    <w:p>
      <w:pPr>
        <w:spacing w:after="0" w:line="117" w:lineRule="exact"/>
        <w:rPr>
          <w:rFonts w:ascii="Arial" w:cs="Arial" w:eastAsia="Arial" w:hAnsi="Arial"/>
          <w:sz w:val="18"/>
          <w:szCs w:val="18"/>
          <w:color w:val="auto"/>
        </w:rPr>
      </w:pPr>
    </w:p>
    <w:p>
      <w:pPr>
        <w:ind w:left="420" w:right="40" w:firstLine="443"/>
        <w:spacing w:after="0" w:line="257" w:lineRule="auto"/>
        <w:tabs>
          <w:tab w:leader="none" w:pos="110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 individual shareholder’s transfer of any or all of his or her shares of Common Stock either during such shareholder’s lifetime or on death to such shareholder’s immediate family or a trust that is primarily for the benefit of such shareholder and/or his or her immediate family. “Immediate family” as used herein shall mean spouse, lineal descendent, parent, or sibling (including half siblings) of the shareholder making such transfer. A trust shall be considered to be primarily for the benefit of such shareholder and/or his or her immediate family only if the beneficial interest of any other person is so remote as to be negligible.</w:t>
      </w:r>
    </w:p>
    <w:p>
      <w:pPr>
        <w:spacing w:after="0" w:line="80" w:lineRule="exact"/>
        <w:rPr>
          <w:rFonts w:ascii="Arial" w:cs="Arial" w:eastAsia="Arial" w:hAnsi="Arial"/>
          <w:sz w:val="18"/>
          <w:szCs w:val="18"/>
          <w:color w:val="auto"/>
        </w:rPr>
      </w:pPr>
    </w:p>
    <w:p>
      <w:pPr>
        <w:ind w:left="420" w:right="480" w:firstLine="443"/>
        <w:spacing w:after="0" w:line="277" w:lineRule="auto"/>
        <w:tabs>
          <w:tab w:leader="none" w:pos="11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shares of Common Stock with a commercial lending institution, provided that any subsequent transfer of said shares by said institution shall be conducted in the manner set forth in this bylaw.</w:t>
      </w:r>
    </w:p>
    <w:p>
      <w:pPr>
        <w:spacing w:after="0" w:line="62" w:lineRule="exact"/>
        <w:rPr>
          <w:rFonts w:ascii="Arial" w:cs="Arial" w:eastAsia="Arial" w:hAnsi="Arial"/>
          <w:sz w:val="18"/>
          <w:szCs w:val="18"/>
          <w:color w:val="auto"/>
        </w:rPr>
      </w:pPr>
    </w:p>
    <w:p>
      <w:pPr>
        <w:ind w:left="1120" w:hanging="257"/>
        <w:spacing w:after="0"/>
        <w:tabs>
          <w:tab w:leader="none" w:pos="11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of Common Stock to any other stockholder of the corporation.</w:t>
      </w:r>
    </w:p>
    <w:p>
      <w:pPr>
        <w:spacing w:after="0" w:line="117" w:lineRule="exact"/>
        <w:rPr>
          <w:rFonts w:ascii="Arial" w:cs="Arial" w:eastAsia="Arial" w:hAnsi="Arial"/>
          <w:sz w:val="18"/>
          <w:szCs w:val="18"/>
          <w:color w:val="auto"/>
        </w:rPr>
      </w:pPr>
    </w:p>
    <w:p>
      <w:pPr>
        <w:ind w:left="420" w:right="40" w:firstLine="443"/>
        <w:spacing w:after="0" w:line="277" w:lineRule="auto"/>
        <w:tabs>
          <w:tab w:leader="none" w:pos="11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of Common Stock to a person who, at the time of such transfer, is an officer or director of the corporation.</w:t>
      </w:r>
    </w:p>
    <w:p>
      <w:pPr>
        <w:spacing w:after="0" w:line="62" w:lineRule="exact"/>
        <w:rPr>
          <w:rFonts w:ascii="Arial" w:cs="Arial" w:eastAsia="Arial" w:hAnsi="Arial"/>
          <w:sz w:val="18"/>
          <w:szCs w:val="18"/>
          <w:color w:val="auto"/>
        </w:rPr>
      </w:pPr>
    </w:p>
    <w:p>
      <w:pPr>
        <w:ind w:left="420" w:firstLine="443"/>
        <w:spacing w:after="0" w:line="264" w:lineRule="auto"/>
        <w:tabs>
          <w:tab w:leader="none" w:pos="11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of Common Stock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73" w:lineRule="exact"/>
        <w:rPr>
          <w:rFonts w:ascii="Arial" w:cs="Arial" w:eastAsia="Arial" w:hAnsi="Arial"/>
          <w:sz w:val="18"/>
          <w:szCs w:val="18"/>
          <w:color w:val="auto"/>
        </w:rPr>
      </w:pPr>
    </w:p>
    <w:p>
      <w:pPr>
        <w:ind w:left="1120" w:hanging="257"/>
        <w:spacing w:after="0"/>
        <w:tabs>
          <w:tab w:leader="none" w:pos="11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of Common Stock to any or all of its stockholders.</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transfer by a stockholder which is a limited or general partnership to any or all of its partners.</w:t>
      </w:r>
    </w:p>
    <w:p>
      <w:pPr>
        <w:spacing w:after="0" w:line="117" w:lineRule="exact"/>
        <w:rPr>
          <w:rFonts w:ascii="Arial" w:cs="Arial" w:eastAsia="Arial" w:hAnsi="Arial"/>
          <w:sz w:val="18"/>
          <w:szCs w:val="18"/>
          <w:color w:val="auto"/>
        </w:rPr>
      </w:pPr>
    </w:p>
    <w:p>
      <w:pPr>
        <w:ind w:left="420" w:firstLine="443"/>
        <w:spacing w:after="0" w:line="277" w:lineRule="auto"/>
        <w:tabs>
          <w:tab w:leader="none" w:pos="111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rFonts w:ascii="Arial" w:cs="Arial" w:eastAsia="Arial" w:hAnsi="Arial"/>
          <w:sz w:val="18"/>
          <w:szCs w:val="18"/>
          <w:color w:val="auto"/>
        </w:rPr>
      </w:pPr>
    </w:p>
    <w:p>
      <w:pPr>
        <w:ind w:left="-40" w:right="80" w:firstLine="464"/>
        <w:spacing w:after="0" w:line="279" w:lineRule="auto"/>
        <w:tabs>
          <w:tab w:leader="none" w:pos="64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sold by the selling stockholder). This bylaw may be amended or repealed either by a duly authorized action of the Board of Directors or by the stockholders, upon the express written consent of the owners of a majority of the voting power of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200" w:name="page201"/>
    <w:bookmarkEnd w:id="200"/>
    <w:p>
      <w:pPr>
        <w:ind w:left="-40" w:right="80" w:firstLine="464"/>
        <w:spacing w:after="0" w:line="277" w:lineRule="auto"/>
        <w:tabs>
          <w:tab w:leader="none" w:pos="6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color w:val="auto"/>
        </w:rPr>
      </w:pPr>
    </w:p>
    <w:p>
      <w:pPr>
        <w:ind w:left="-40" w:right="80" w:firstLine="464"/>
        <w:spacing w:after="0" w:line="308" w:lineRule="auto"/>
        <w:tabs>
          <w:tab w:leader="none" w:pos="67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foregoing right of first refusal shall terminate upon the date securities of the corporation are first offered to the public pursuant to a registration statement filed with, and declared effective by, the Securities and Exchange Commission under the Securities Act of 1933, as amended.</w:t>
      </w:r>
    </w:p>
    <w:p>
      <w:pPr>
        <w:spacing w:after="0" w:line="38" w:lineRule="exact"/>
        <w:rPr>
          <w:rFonts w:ascii="Arial" w:cs="Arial" w:eastAsia="Arial" w:hAnsi="Arial"/>
          <w:sz w:val="17"/>
          <w:szCs w:val="17"/>
          <w:color w:val="auto"/>
        </w:rPr>
      </w:pPr>
    </w:p>
    <w:p>
      <w:pPr>
        <w:ind w:left="420" w:firstLine="443"/>
        <w:spacing w:after="0" w:line="277" w:lineRule="auto"/>
        <w:tabs>
          <w:tab w:leader="none" w:pos="111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certificates representing shares of Common Stock of the corporation shall bear on their face the following legend so long as the foregoing right of first refusal remains in effect:</w:t>
      </w:r>
    </w:p>
    <w:p>
      <w:pPr>
        <w:spacing w:after="0" w:line="58" w:lineRule="exact"/>
        <w:rPr>
          <w:sz w:val="20"/>
          <w:szCs w:val="20"/>
          <w:color w:val="auto"/>
        </w:rPr>
      </w:pPr>
    </w:p>
    <w:p>
      <w:pPr>
        <w:ind w:left="420" w:right="180"/>
        <w:spacing w:after="0" w:line="282" w:lineRule="auto"/>
        <w:rPr>
          <w:sz w:val="20"/>
          <w:szCs w:val="20"/>
          <w:color w:val="auto"/>
        </w:rPr>
      </w:pPr>
      <w:r>
        <w:rPr>
          <w:rFonts w:ascii="Arial" w:cs="Arial" w:eastAsia="Arial" w:hAnsi="Arial"/>
          <w:sz w:val="18"/>
          <w:szCs w:val="18"/>
          <w:b w:val="1"/>
          <w:bCs w:val="1"/>
          <w:color w:val="auto"/>
        </w:rPr>
        <w:t>“THE SHARES REPRESENTED BY THIS CERTIFICATE ARE SUBJECT TO A RIGHT OF FIRST REFUSAL OPTION IN FAVOR OF THE CORPORATION, AS PROVIDED IN THE BYLAWS OF THE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80" w:top="274" w:right="259" w:bottom="1440" w:gutter="0" w:footer="0" w:header="0"/>
        </w:sectPr>
      </w:pPr>
    </w:p>
    <w:bookmarkStart w:id="201" w:name="page202"/>
    <w:bookmarkEnd w:id="201"/>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SECRETARY</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undersigned, Secretary of Krystal Biotech, Inc., a Delaware corporation, hereby certifies that the foregoing is a full, true and correct copy of the Bylaws of said corporation, with all amendments to date of this Certificate.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 the signature of the undersigned as of March 31st,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Krish S. Krishnan, Secretary</w:t>
      </w:r>
    </w:p>
    <w:p>
      <w:pPr>
        <w:sectPr>
          <w:pgSz w:w="11900" w:h="16838" w:orient="portrait"/>
          <w:cols w:equalWidth="0" w:num="1">
            <w:col w:w="11140"/>
          </w:cols>
          <w:pgMar w:left="240" w:top="270" w:right="519" w:bottom="1440" w:gutter="0" w:footer="0" w:header="0"/>
        </w:sectPr>
      </w:pPr>
    </w:p>
    <w:bookmarkStart w:id="202" w:name="page203"/>
    <w:bookmarkEnd w:id="202"/>
    <w:p>
      <w:pPr>
        <w:spacing w:after="0" w:line="200" w:lineRule="exact"/>
        <w:rPr>
          <w:sz w:val="20"/>
          <w:szCs w:val="20"/>
          <w:color w:val="auto"/>
        </w:rPr>
      </w:pPr>
    </w:p>
    <w:p>
      <w:pPr>
        <w:spacing w:after="0" w:line="26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425 MARKET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058035" cy="2571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2058035" cy="257175"/>
                    </a:xfrm>
                    <a:prstGeom prst="rect">
                      <a:avLst/>
                    </a:prstGeom>
                    <a:noFill/>
                  </pic:spPr>
                </pic:pic>
              </a:graphicData>
            </a:graphic>
          </wp:anchor>
        </w:drawing>
      </w:r>
    </w:p>
    <w:p>
      <w:pPr>
        <w:spacing w:after="0" w:line="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CALIFORNIA 94105-2482</w:t>
      </w:r>
    </w:p>
    <w:p>
      <w:pPr>
        <w:spacing w:after="0" w:line="23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TELEPHONE: 415.268.7000</w:t>
      </w:r>
    </w:p>
    <w:p>
      <w:pPr>
        <w:spacing w:after="0" w:line="4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FACSIMILE: 415.268.7522</w:t>
      </w: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WWW.MOFO.COM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Krystal Biotech,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Wharton Street, Suite 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 15203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131" w:lineRule="exact"/>
        <w:rPr>
          <w:sz w:val="20"/>
          <w:szCs w:val="20"/>
          <w:color w:val="auto"/>
        </w:rPr>
      </w:pPr>
    </w:p>
    <w:p>
      <w:pPr>
        <w:ind w:right="660"/>
        <w:spacing w:after="0" w:line="257" w:lineRule="auto"/>
        <w:rPr>
          <w:sz w:val="20"/>
          <w:szCs w:val="20"/>
          <w:color w:val="auto"/>
        </w:rPr>
      </w:pPr>
      <w:r>
        <w:rPr>
          <w:rFonts w:ascii="Arial" w:cs="Arial" w:eastAsia="Arial" w:hAnsi="Arial"/>
          <w:sz w:val="18"/>
          <w:szCs w:val="18"/>
          <w:color w:val="auto"/>
        </w:rPr>
        <w:t>NEW YORK, SAN FRANCISCO, LOS ANGELES, PALO ALTO, SACRAMENTO, SAN DIEGO, DENVER, NORTHERN VIRGINIA, WASHINGTON, D.C.</w:t>
      </w:r>
    </w:p>
    <w:p>
      <w:pPr>
        <w:spacing w:after="0" w:line="9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TOKYO, LONDON, BRUSSELS, BEIJING, SHANGHAI, HONG KONG</w:t>
      </w:r>
    </w:p>
    <w:p>
      <w:pPr>
        <w:spacing w:after="0" w:line="1445" w:lineRule="exact"/>
        <w:rPr>
          <w:sz w:val="20"/>
          <w:szCs w:val="20"/>
          <w:color w:val="auto"/>
        </w:rPr>
      </w:pPr>
    </w:p>
    <w:p>
      <w:pPr>
        <w:sectPr>
          <w:pgSz w:w="11900" w:h="16838" w:orient="portrait"/>
          <w:cols w:equalWidth="0" w:num="2">
            <w:col w:w="7340" w:space="720"/>
            <w:col w:w="3360"/>
          </w:cols>
          <w:pgMar w:left="240" w:top="122" w:right="239" w:bottom="1440" w:gutter="0" w:footer="0" w:header="0"/>
        </w:sectPr>
      </w:pPr>
    </w:p>
    <w:p>
      <w:pPr>
        <w:spacing w:after="0" w:line="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are acting as counsel to Krystal Biotech, Inc., a Delaware corporation (the “Company”), in connection with its registration statement on Form S-1 (File No. 333-220085), as amended (the “Registration Statement”), filed with the Securities and Exchange Commission under the Securities Act of 1933, as amended (the “Securities Act”), relating to the proposed public offering of up to 3,450,000 shares (the “Shares”) of the Company’s common stock, $0.00001 par value per share (the “Common Stock”), including shares of Common Stock that may be sold pursuant to the underwriters’ option to purchase additional shares, all of which Shares are to be sold by the Company pursuant to the proposed form of Underwriting Agreement among the Company and the underwriters named therein filed as Exhibit 1.1 to the Registration Statement (the “Underwriting Agreement”).</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 examination, we have assumed the genuineness of all signatures, the authenticity of all documents submitted to us as originals and the conformity with the originals of all documents submitted to us as copies.</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opinion letter is based as to matters of law solely on the General Corporation Law of the State of Delaware as currently in effect. We express no opinion herein as to any other laws, statutes, ordinances, rules, or regulations.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131" w:lineRule="exact"/>
        <w:rPr>
          <w:sz w:val="20"/>
          <w:szCs w:val="20"/>
          <w:color w:val="auto"/>
        </w:rPr>
      </w:pPr>
    </w:p>
    <w:p>
      <w:pPr>
        <w:ind w:left="900" w:right="98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Shares will be duly and validly authorized and upon issuance, delivery and payment therefor in the manner contemplated by the Underwriting Agreement, will be validly issued, fully paid and nonassessable.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opinion letter has been prepared for use in connection with the Registration Statement. We assume no obligation to advise you of any changes in the foregoing subsequent to the effective date of the Registration Statement.</w:t>
      </w:r>
    </w:p>
    <w:p>
      <w:pPr>
        <w:sectPr>
          <w:pgSz w:w="11900" w:h="16838" w:orient="portrait"/>
          <w:cols w:equalWidth="0" w:num="1">
            <w:col w:w="11420"/>
          </w:cols>
          <w:pgMar w:left="240" w:top="122" w:right="23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058035" cy="257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57175"/>
                    </a:xfrm>
                    <a:prstGeom prst="rect">
                      <a:avLst/>
                    </a:prstGeom>
                    <a:noFill/>
                  </pic:spPr>
                </pic:pic>
              </a:graphicData>
            </a:graphic>
          </wp:anchor>
        </w:drawing>
        <w:t>Krystal Biotech,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a part of the Registration Statement. In giving such consent, we do not thereby admit that we are in the category of persons whose consent is required under Section 7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Morrison &amp; Foerster LLP</w:t>
      </w:r>
    </w:p>
    <w:p>
      <w:pPr>
        <w:sectPr>
          <w:pgSz w:w="11900" w:h="16838" w:orient="portrait"/>
          <w:cols w:equalWidth="0" w:num="1">
            <w:col w:w="11320"/>
          </w:cols>
          <w:pgMar w:left="240" w:top="895"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This Employment Agreement (“the Agreement”), dated July 1, 2017, is between Krystal Biotech, Inc., a Delaware corporation] (the “Company”) and Krish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Krishnan, (“Employee”).</w:t>
      </w:r>
    </w:p>
    <w:p>
      <w:pPr>
        <w:spacing w:after="0" w:line="355"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RESPONSIBILITIES</w:t>
      </w:r>
    </w:p>
    <w:p>
      <w:pPr>
        <w:spacing w:after="0" w:line="117" w:lineRule="exact"/>
        <w:rPr>
          <w:rFonts w:ascii="Arial" w:cs="Arial" w:eastAsia="Arial" w:hAnsi="Arial"/>
          <w:sz w:val="18"/>
          <w:szCs w:val="18"/>
          <w:b w:val="1"/>
          <w:bCs w:val="1"/>
          <w:color w:val="auto"/>
        </w:rPr>
      </w:pPr>
    </w:p>
    <w:p>
      <w:pPr>
        <w:ind w:right="400" w:firstLine="464"/>
        <w:spacing w:after="0" w:line="261" w:lineRule="auto"/>
        <w:tabs>
          <w:tab w:leader="none" w:pos="636"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Employee is employed by the Company to render services to the Company in the position of President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perform such duties and responsibilities as are normally related to such position in accordance with the standards of the industry and any additional duties now or hereafter assigned to Employee by the Board of Directors of the Company. Employee shall abide by the rules, regulations, and practices as adopted or modified from time to time in the Company’s sole discretion.</w:t>
      </w:r>
    </w:p>
    <w:p>
      <w:pPr>
        <w:spacing w:after="0" w:line="71" w:lineRule="exact"/>
        <w:rPr>
          <w:rFonts w:ascii="Arial" w:cs="Arial" w:eastAsia="Arial" w:hAnsi="Arial"/>
          <w:sz w:val="18"/>
          <w:szCs w:val="18"/>
          <w:b w:val="1"/>
          <w:bCs w:val="1"/>
          <w:color w:val="auto"/>
        </w:rPr>
      </w:pPr>
    </w:p>
    <w:p>
      <w:pPr>
        <w:ind w:right="100" w:firstLine="464"/>
        <w:spacing w:after="0" w:line="266" w:lineRule="auto"/>
        <w:tabs>
          <w:tab w:leader="none" w:pos="646"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Activities. </w:t>
      </w:r>
      <w:r>
        <w:rPr>
          <w:rFonts w:ascii="Arial" w:cs="Arial" w:eastAsia="Arial" w:hAnsi="Arial"/>
          <w:sz w:val="18"/>
          <w:szCs w:val="18"/>
          <w:color w:val="auto"/>
        </w:rPr>
        <w:t>Except upon the prior written consent of the Company, Employee will not, during the term of this Agreement, (i) accept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(ii) engage, directly or indirectly, in any other business activity (whether or not pursued for pecuniary advantage) that might interfere with Employee’s duties and responsibilities hereunder or create a conflict of interest with the Company.</w:t>
      </w:r>
    </w:p>
    <w:p>
      <w:pPr>
        <w:spacing w:after="0" w:line="68" w:lineRule="exact"/>
        <w:rPr>
          <w:rFonts w:ascii="Arial" w:cs="Arial" w:eastAsia="Arial" w:hAnsi="Arial"/>
          <w:sz w:val="18"/>
          <w:szCs w:val="18"/>
          <w:b w:val="1"/>
          <w:bCs w:val="1"/>
          <w:color w:val="auto"/>
        </w:rPr>
      </w:pPr>
    </w:p>
    <w:p>
      <w:pPr>
        <w:ind w:right="180" w:firstLine="464"/>
        <w:spacing w:after="0" w:line="289" w:lineRule="auto"/>
        <w:tabs>
          <w:tab w:leader="none" w:pos="626" w:val="left"/>
        </w:tabs>
        <w:numPr>
          <w:ilvl w:val="1"/>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Employee represents and warrants that Employee’s execution of this Agreement, Employee’s employment with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Employee’s proposed duties under this Agreement shall not violate any obligations Employee may have to any other employer, person or entity, including any obligations with respect to proprietary or confidential information of any other person or entity.</w:t>
      </w:r>
    </w:p>
    <w:p>
      <w:pPr>
        <w:spacing w:after="0" w:line="306" w:lineRule="exact"/>
        <w:rPr>
          <w:rFonts w:ascii="Arial" w:cs="Arial" w:eastAsia="Arial" w:hAnsi="Arial"/>
          <w:sz w:val="17"/>
          <w:szCs w:val="17"/>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17" w:lineRule="exact"/>
        <w:rPr>
          <w:rFonts w:ascii="Arial" w:cs="Arial" w:eastAsia="Arial" w:hAnsi="Arial"/>
          <w:sz w:val="18"/>
          <w:szCs w:val="18"/>
          <w:b w:val="1"/>
          <w:bCs w:val="1"/>
          <w:color w:val="auto"/>
        </w:rPr>
      </w:pPr>
    </w:p>
    <w:p>
      <w:pPr>
        <w:ind w:right="100" w:firstLine="464"/>
        <w:spacing w:after="0" w:line="261" w:lineRule="auto"/>
        <w:tabs>
          <w:tab w:leader="none" w:pos="636"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In consideration of the services to be rendered under this Agreement, the Company shall pay Employee a salary at the rate of SIXTY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($60,000) per year (“Base Salary”). The Base Salary shall be paid in accordance with the Company’s regularly established payroll practice. Employee’s Base Salary will be reviewed from time to time in accordance with the established procedures of the Company for adjusting salaries for similarly situated employees and may be adjusted in the sole discretion of the Company.</w:t>
      </w:r>
    </w:p>
    <w:p>
      <w:pPr>
        <w:spacing w:after="0" w:line="71" w:lineRule="exact"/>
        <w:rPr>
          <w:rFonts w:ascii="Arial" w:cs="Arial" w:eastAsia="Arial" w:hAnsi="Arial"/>
          <w:sz w:val="18"/>
          <w:szCs w:val="18"/>
          <w:b w:val="1"/>
          <w:bCs w:val="1"/>
          <w:color w:val="auto"/>
        </w:rPr>
      </w:pPr>
    </w:p>
    <w:p>
      <w:pPr>
        <w:ind w:right="480" w:firstLine="464"/>
        <w:spacing w:after="0" w:line="347" w:lineRule="auto"/>
        <w:tabs>
          <w:tab w:leader="none" w:pos="647" w:val="left"/>
        </w:tabs>
        <w:numPr>
          <w:ilvl w:val="1"/>
          <w:numId w:val="1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Employee shall be eligible to participate in the benefits made generally available by the Company to similarly-situated employees,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benefit plans established by the Company, and as may be amended from time to time in the Company’s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5" w:name="page206"/>
    <w:bookmarkEnd w:id="205"/>
    <w:p>
      <w:pPr>
        <w:ind w:right="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Expenses. </w:t>
      </w:r>
      <w:r>
        <w:rPr>
          <w:rFonts w:ascii="Arial" w:cs="Arial" w:eastAsia="Arial" w:hAnsi="Arial"/>
          <w:sz w:val="18"/>
          <w:szCs w:val="18"/>
          <w:color w:val="auto"/>
        </w:rPr>
        <w:t>The Company shall reimburse Employee for reasonable business expenses incurred in the performance of Employee’s duties hereunder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expense reimbursement guidelines, including the cost of travel to and lodging in Pittsburgh Pennsylvania from Employee’s current residence in San Francisco, California.</w:t>
      </w:r>
    </w:p>
    <w:p>
      <w:pPr>
        <w:spacing w:after="0" w:line="325"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COMPANY</w:t>
      </w:r>
    </w:p>
    <w:p>
      <w:pPr>
        <w:spacing w:after="0" w:line="117"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1"/>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Company. </w:t>
      </w:r>
      <w:r>
        <w:rPr>
          <w:rFonts w:ascii="Arial" w:cs="Arial" w:eastAsia="Arial" w:hAnsi="Arial"/>
          <w:sz w:val="18"/>
          <w:szCs w:val="18"/>
          <w:color w:val="auto"/>
        </w:rPr>
        <w:t>The employment of Employee shall be “at-will” at all times. The Company may terminate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Upon and after such termination, all obligations of the Company under this Agreement shall cease.</w:t>
      </w:r>
    </w:p>
    <w:p>
      <w:pPr>
        <w:spacing w:after="0" w:line="3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EMPLOYEE</w:t>
      </w:r>
    </w:p>
    <w:p>
      <w:pPr>
        <w:spacing w:after="0" w:line="117" w:lineRule="exact"/>
        <w:rPr>
          <w:rFonts w:ascii="Arial" w:cs="Arial" w:eastAsia="Arial" w:hAnsi="Arial"/>
          <w:sz w:val="18"/>
          <w:szCs w:val="18"/>
          <w:b w:val="1"/>
          <w:bCs w:val="1"/>
          <w:color w:val="auto"/>
        </w:rPr>
      </w:pPr>
    </w:p>
    <w:p>
      <w:pPr>
        <w:ind w:right="40" w:firstLine="464"/>
        <w:spacing w:after="0" w:line="258" w:lineRule="auto"/>
        <w:tabs>
          <w:tab w:leader="none" w:pos="636" w:val="left"/>
        </w:tabs>
        <w:numPr>
          <w:ilvl w:val="1"/>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Employee. </w:t>
      </w:r>
      <w:r>
        <w:rPr>
          <w:rFonts w:ascii="Arial" w:cs="Arial" w:eastAsia="Arial" w:hAnsi="Arial"/>
          <w:sz w:val="18"/>
          <w:szCs w:val="18"/>
          <w:color w:val="auto"/>
        </w:rPr>
        <w:t>Employee may terminate employment with the Company at any time for any reason or no reason at all, upon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days’ advance written notice. During such notice period Employee shall continue to diligently perform all of Employee’s duties hereunder. The Company shall have the option, in its sole discretion, to make Employee’s termination effective at any time prior to the end of such notice period as long as the Company pays Employee all compensation to which Employee is entitled up through the last day of the thirty day notice period. Thereafter all obligations of the Company shall cease.</w:t>
      </w:r>
    </w:p>
    <w:p>
      <w:pPr>
        <w:spacing w:after="0" w:line="3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OBLIGATIONS</w:t>
      </w:r>
    </w:p>
    <w:p>
      <w:pPr>
        <w:spacing w:after="0" w:line="117" w:lineRule="exact"/>
        <w:rPr>
          <w:rFonts w:ascii="Arial" w:cs="Arial" w:eastAsia="Arial" w:hAnsi="Arial"/>
          <w:sz w:val="18"/>
          <w:szCs w:val="18"/>
          <w:b w:val="1"/>
          <w:bCs w:val="1"/>
          <w:color w:val="auto"/>
        </w:rPr>
      </w:pPr>
    </w:p>
    <w:p>
      <w:pPr>
        <w:ind w:right="140" w:firstLine="464"/>
        <w:spacing w:after="0" w:line="289" w:lineRule="auto"/>
        <w:tabs>
          <w:tab w:leader="none" w:pos="636" w:val="left"/>
        </w:tabs>
        <w:numPr>
          <w:ilvl w:val="1"/>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Employee agrees that all property (including without limitation all equipment, tangible proprietary information,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notes, contracts and computer-generated materials) furnished to or created or prepared by Employee incident to Employee’s employment belongs to the Company and shall be promptly returned to the Company upon termination of Employee’s employment.</w:t>
      </w:r>
    </w:p>
    <w:p>
      <w:pPr>
        <w:spacing w:after="0" w:line="50" w:lineRule="exact"/>
        <w:rPr>
          <w:rFonts w:ascii="Arial" w:cs="Arial" w:eastAsia="Arial" w:hAnsi="Arial"/>
          <w:sz w:val="17"/>
          <w:szCs w:val="17"/>
          <w:b w:val="1"/>
          <w:bCs w:val="1"/>
          <w:color w:val="auto"/>
        </w:rPr>
      </w:pPr>
    </w:p>
    <w:p>
      <w:pPr>
        <w:ind w:right="40" w:firstLine="464"/>
        <w:spacing w:after="0" w:line="289" w:lineRule="auto"/>
        <w:tabs>
          <w:tab w:leader="none" w:pos="647" w:val="left"/>
        </w:tabs>
        <w:numPr>
          <w:ilvl w:val="1"/>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and Cooperation. </w:t>
      </w:r>
      <w:r>
        <w:rPr>
          <w:rFonts w:ascii="Arial" w:cs="Arial" w:eastAsia="Arial" w:hAnsi="Arial"/>
          <w:sz w:val="17"/>
          <w:szCs w:val="17"/>
          <w:color w:val="auto"/>
        </w:rPr>
        <w:t>Following any termination of employment, Employee shall cooperate with the Company in the winding up of</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work on behalf of the Company and the orderly transfer of work to other employees. Employee shall also cooperate with the Company in the defense of any action brought by any third party against the Company that relates to Employee’s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06" w:name="page207"/>
    <w:bookmarkEnd w:id="206"/>
    <w:p>
      <w:pPr>
        <w:ind w:right="2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Continuing Obligations. </w:t>
      </w:r>
      <w:r>
        <w:rPr>
          <w:rFonts w:ascii="Arial" w:cs="Arial" w:eastAsia="Arial" w:hAnsi="Arial"/>
          <w:sz w:val="18"/>
          <w:szCs w:val="18"/>
          <w:color w:val="auto"/>
        </w:rPr>
        <w:t>Employee understands and agrees that Employee’s obligations under Sections 5 and 6 herein (including Exhibit A)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termination of Employee’s employment for any reason and the termination of this Agreement.</w:t>
      </w:r>
    </w:p>
    <w:p>
      <w:pPr>
        <w:spacing w:after="0" w:line="310"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w:t>
      </w:r>
    </w:p>
    <w:p>
      <w:pPr>
        <w:spacing w:after="0" w:line="117" w:lineRule="exact"/>
        <w:rPr>
          <w:rFonts w:ascii="Arial" w:cs="Arial" w:eastAsia="Arial" w:hAnsi="Arial"/>
          <w:sz w:val="18"/>
          <w:szCs w:val="18"/>
          <w:b w:val="1"/>
          <w:bCs w:val="1"/>
          <w:color w:val="auto"/>
        </w:rPr>
      </w:pPr>
    </w:p>
    <w:p>
      <w:pPr>
        <w:ind w:right="800" w:firstLine="464"/>
        <w:spacing w:after="0" w:line="282" w:lineRule="auto"/>
        <w:tabs>
          <w:tab w:leader="none" w:pos="636"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Agreement. </w:t>
      </w:r>
      <w:r>
        <w:rPr>
          <w:rFonts w:ascii="Arial" w:cs="Arial" w:eastAsia="Arial" w:hAnsi="Arial"/>
          <w:sz w:val="18"/>
          <w:szCs w:val="18"/>
          <w:color w:val="auto"/>
        </w:rPr>
        <w:t>Employee agrees to sign and be bound by the terms of the Company’s Proprietary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Agreement, which is attached as Exhibit A (“Proprietary Information Agreement”).</w:t>
      </w:r>
    </w:p>
    <w:p>
      <w:pPr>
        <w:spacing w:after="0" w:line="53" w:lineRule="exact"/>
        <w:rPr>
          <w:rFonts w:ascii="Arial" w:cs="Arial" w:eastAsia="Arial" w:hAnsi="Arial"/>
          <w:sz w:val="18"/>
          <w:szCs w:val="18"/>
          <w:b w:val="1"/>
          <w:bCs w:val="1"/>
          <w:color w:val="auto"/>
        </w:rPr>
      </w:pPr>
    </w:p>
    <w:p>
      <w:pPr>
        <w:ind w:firstLine="464"/>
        <w:spacing w:after="0" w:line="256" w:lineRule="auto"/>
        <w:tabs>
          <w:tab w:leader="none" w:pos="646"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Third Party Information. </w:t>
      </w:r>
      <w:r>
        <w:rPr>
          <w:rFonts w:ascii="Arial" w:cs="Arial" w:eastAsia="Arial" w:hAnsi="Arial"/>
          <w:sz w:val="18"/>
          <w:szCs w:val="18"/>
          <w:color w:val="auto"/>
        </w:rPr>
        <w:t>Employee represents and warrants and covenants that Employee shall not disclose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induce the Company to use, any proprietary information or trade secrets of others at any time, including but not limited to any proprietary information or trade secrets of any former employer, if any; and Employee acknowledges and agrees that any violation of this provision shall be grounds for Employee’s immediate termination and could subject Employee to substantial civil liabilities and criminal penalties. Employee further specifically and expressly acknowledges that no officer or other employee or representative of the Company has requested or instructed Employee to disclose or use any such third party proprietary information or trade secrets.</w:t>
      </w:r>
    </w:p>
    <w:p>
      <w:pPr>
        <w:spacing w:after="0" w:line="33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REMEDIES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Agreement may not be amended or waived except by a writing signed by Employee and by a duly authorized officer of the Company.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3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BINDING EFFECT</w:t>
      </w:r>
    </w:p>
    <w:p>
      <w:pPr>
        <w:spacing w:after="0" w:line="117" w:lineRule="exact"/>
        <w:rPr>
          <w:rFonts w:ascii="Arial" w:cs="Arial" w:eastAsia="Arial" w:hAnsi="Arial"/>
          <w:sz w:val="18"/>
          <w:szCs w:val="18"/>
          <w:b w:val="1"/>
          <w:bCs w:val="1"/>
          <w:color w:val="auto"/>
        </w:rPr>
      </w:pPr>
    </w:p>
    <w:p>
      <w:pPr>
        <w:ind w:right="260" w:firstLine="45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Assignment. </w:t>
      </w:r>
      <w:r>
        <w:rPr>
          <w:rFonts w:ascii="Arial" w:cs="Arial" w:eastAsia="Arial" w:hAnsi="Arial"/>
          <w:sz w:val="18"/>
          <w:szCs w:val="18"/>
          <w:color w:val="auto"/>
        </w:rPr>
        <w:t>The performance of Employee is personal hereunder, and Employee agrees that Employee shall have no right to assign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or purport to assign any rights or obligations under this Agreement. This Agreement may be assigned or transferred by the Company, including in connection with any conversion of the Company into corporate form; and nothing in this Agreement shall prevent the consolidation, merger or sale of the Company or a sale of any or all or substantially all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07" w:name="page208"/>
    <w:bookmarkEnd w:id="207"/>
    <w:p>
      <w:pPr>
        <w:ind w:right="2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Binding Effect. </w:t>
      </w:r>
      <w:r>
        <w:rPr>
          <w:rFonts w:ascii="Arial" w:cs="Arial" w:eastAsia="Arial" w:hAnsi="Arial"/>
          <w:sz w:val="18"/>
          <w:szCs w:val="18"/>
          <w:color w:val="auto"/>
        </w:rPr>
        <w:t>Subject to the foregoing restriction on assignment by Employee, this Agreement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the affiliates, officers, directors, agents, successors and assigns of the Company; and the heirs, devisees, spouses, legal representatives and successors of Employee.</w:t>
      </w:r>
    </w:p>
    <w:p>
      <w:pPr>
        <w:spacing w:after="0" w:line="325"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notices or other communications required or permitted hereunder shall be made in writing and shall be deemed to have been duly given if delivered:</w:t>
      </w:r>
    </w:p>
    <w:p>
      <w:pPr>
        <w:spacing w:after="0" w:line="35" w:lineRule="exact"/>
        <w:rPr>
          <w:sz w:val="20"/>
          <w:szCs w:val="20"/>
          <w:color w:val="auto"/>
        </w:rPr>
      </w:pPr>
    </w:p>
    <w:p>
      <w:pPr>
        <w:ind w:right="40" w:firstLine="8"/>
        <w:spacing w:after="0" w:line="295" w:lineRule="auto"/>
        <w:tabs>
          <w:tab w:leader="none" w:pos="24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Employee shall be obligated to notify the Company in writing of any change in Employee’s address. Notice of change of address shall be effective only when done in accordance with this paragraph.</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Company’s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Krystal Biotech,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Rhode Island Street, Suite # 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2473 Clay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94115.</w:t>
      </w:r>
    </w:p>
    <w:p>
      <w:pPr>
        <w:spacing w:after="0" w:line="355"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08" w:name="page209"/>
    <w:bookmarkEnd w:id="208"/>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amounts paid under this Agreement (including without limitation Base Salary) shall be paid less all applicable state and federal tax withholdings and any other withholdings required by any applicable jurisdiction or authorized by Employee.</w:t>
      </w:r>
    </w:p>
    <w:p>
      <w:pPr>
        <w:spacing w:after="0" w:line="315"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California.</w:t>
      </w:r>
    </w:p>
    <w:p>
      <w:pPr>
        <w:spacing w:after="0" w:line="370"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32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315"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09" w:name="page210"/>
    <w:bookmarkEnd w:id="209"/>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p>
    <w:p>
      <w:pPr>
        <w:spacing w:after="0" w:line="1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This Agreement is intended to be the final, complete, and exclusive statement of the terms of Employee’s employment by the Company and may not be contradicted by evidence of any prior or contemporaneous statements or agreements, except for agreements specifically referenced herein (including the Employee Proprietary Information and Inventions Agreement attached as Exhibit A and the Company’s Equity Incentive Plan and Equity Incentive Agreement). To the extent that the practices, policies or procedures of the Company, now or in the future, apply to Employee and are inconsistent with the terms of this Agreement, the provisions of this Agreement shall control. Any subsequent change in Employee’s duties, position, or compensation will not affect the validity or scope of this Agreement.</w:t>
      </w:r>
    </w:p>
    <w:p>
      <w:pPr>
        <w:spacing w:after="0" w:line="338"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ACKNOWLEDGEMENT</w:t>
      </w:r>
    </w:p>
    <w:p>
      <w:pPr>
        <w:spacing w:after="0" w:line="117"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Employee acknowledges Employee has had the opportunity to consult legal counsel concerning this agreement, that Employee has read and understands the agreement, that Employee is fully aware of its legal effect, and that Employee has entered into it freely based on Employee’s own judgment and not on any representations or promises other than those contained in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KRYSTAL BIOTECH, INC.</w:t>
            </w:r>
          </w:p>
        </w:tc>
        <w:tc>
          <w:tcPr>
            <w:tcW w:w="20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w:t>
            </w:r>
          </w:p>
        </w:tc>
      </w:tr>
      <w:tr>
        <w:trPr>
          <w:trHeight w:val="392"/>
        </w:trPr>
        <w:tc>
          <w:tcPr>
            <w:tcW w:w="4020" w:type="dxa"/>
            <w:vAlign w:val="bottom"/>
            <w:gridSpan w:val="2"/>
          </w:tcPr>
          <w:p>
            <w:pPr>
              <w:spacing w:after="0"/>
              <w:rPr>
                <w:sz w:val="20"/>
                <w:szCs w:val="20"/>
                <w:color w:val="auto"/>
              </w:rPr>
            </w:pPr>
            <w:r>
              <w:rPr>
                <w:rFonts w:ascii="Arial" w:cs="Arial" w:eastAsia="Arial" w:hAnsi="Arial"/>
                <w:sz w:val="18"/>
                <w:szCs w:val="18"/>
                <w:color w:val="auto"/>
              </w:rPr>
              <w:t>By: /s/ Krish S. Krishnan</w:t>
            </w:r>
          </w:p>
        </w:tc>
        <w:tc>
          <w:tcPr>
            <w:tcW w:w="20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 Krish S. Krishnan</w:t>
            </w:r>
          </w:p>
        </w:tc>
      </w:tr>
      <w:tr>
        <w:trPr>
          <w:trHeight w:val="237"/>
        </w:trPr>
        <w:tc>
          <w:tcPr>
            <w:tcW w:w="320" w:type="dxa"/>
            <w:vAlign w:val="bottom"/>
          </w:tcPr>
          <w:p>
            <w:pPr>
              <w:spacing w:after="0"/>
              <w:rPr>
                <w:sz w:val="20"/>
                <w:szCs w:val="20"/>
                <w:color w:val="auto"/>
              </w:rPr>
            </w:pPr>
          </w:p>
        </w:tc>
        <w:tc>
          <w:tcPr>
            <w:tcW w:w="370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Name</w:t>
            </w:r>
          </w:p>
        </w:tc>
        <w:tc>
          <w:tcPr>
            <w:tcW w:w="2040" w:type="dxa"/>
            <w:vAlign w:val="bottom"/>
          </w:tcPr>
          <w:p>
            <w:pPr>
              <w:spacing w:after="0"/>
              <w:rPr>
                <w:sz w:val="20"/>
                <w:szCs w:val="20"/>
                <w:color w:val="auto"/>
              </w:rPr>
            </w:pPr>
          </w:p>
        </w:tc>
        <w:tc>
          <w:tcPr>
            <w:tcW w:w="372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2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32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399"/>
        </w:trPr>
        <w:tc>
          <w:tcPr>
            <w:tcW w:w="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Employment Agreement (“the Agreement”), dated MAY 1, 2017, is between Krystal Biotech, Inc., a Delaware corporation] (the “Company”) and SUMA M KRISHNAN, (“Employee”).</w:t>
      </w:r>
    </w:p>
    <w:p>
      <w:pPr>
        <w:spacing w:after="0" w:line="315"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RESPONSIBILITIES</w:t>
      </w:r>
    </w:p>
    <w:p>
      <w:pPr>
        <w:spacing w:after="0" w:line="117" w:lineRule="exact"/>
        <w:rPr>
          <w:rFonts w:ascii="Arial" w:cs="Arial" w:eastAsia="Arial" w:hAnsi="Arial"/>
          <w:sz w:val="18"/>
          <w:szCs w:val="18"/>
          <w:b w:val="1"/>
          <w:bCs w:val="1"/>
          <w:color w:val="auto"/>
        </w:rPr>
      </w:pPr>
    </w:p>
    <w:p>
      <w:pPr>
        <w:ind w:right="180" w:firstLine="464"/>
        <w:spacing w:after="0" w:line="261" w:lineRule="auto"/>
        <w:tabs>
          <w:tab w:leader="none" w:pos="636" w:val="left"/>
        </w:tabs>
        <w:numPr>
          <w:ilvl w:val="1"/>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Employee is employed by the Company to render services to the Company in the position of CHIEF OPERATING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perform such duties and responsibilities as are normally related to such position in accordance with the standards of the industry and any additional duties now or hereafter assigned to Employee by the Company. Employee shall abide by the rules, regulations, and practices as adopted or modified from time to time in the Company’s sole discretion.</w:t>
      </w:r>
    </w:p>
    <w:p>
      <w:pPr>
        <w:spacing w:after="0" w:line="71" w:lineRule="exact"/>
        <w:rPr>
          <w:rFonts w:ascii="Arial" w:cs="Arial" w:eastAsia="Arial" w:hAnsi="Arial"/>
          <w:sz w:val="18"/>
          <w:szCs w:val="18"/>
          <w:b w:val="1"/>
          <w:bCs w:val="1"/>
          <w:color w:val="auto"/>
        </w:rPr>
      </w:pPr>
    </w:p>
    <w:p>
      <w:pPr>
        <w:ind w:right="100" w:firstLine="464"/>
        <w:spacing w:after="0" w:line="266" w:lineRule="auto"/>
        <w:tabs>
          <w:tab w:leader="none" w:pos="647" w:val="left"/>
        </w:tabs>
        <w:numPr>
          <w:ilvl w:val="1"/>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Activities. </w:t>
      </w:r>
      <w:r>
        <w:rPr>
          <w:rFonts w:ascii="Arial" w:cs="Arial" w:eastAsia="Arial" w:hAnsi="Arial"/>
          <w:sz w:val="18"/>
          <w:szCs w:val="18"/>
          <w:color w:val="auto"/>
        </w:rPr>
        <w:t>Except upon the prior written consent of the Company, Employee will not, during the term of this Agreement, (i) accept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(ii) engage, directly or indirectly, in any other business activity (whether or not pursued for pecuniary advantage) that might interfere with Employee’s duties and responsibilities hereunder or create a conflict of interest with the Company.</w:t>
      </w:r>
    </w:p>
    <w:p>
      <w:pPr>
        <w:spacing w:after="0" w:line="68" w:lineRule="exact"/>
        <w:rPr>
          <w:rFonts w:ascii="Arial" w:cs="Arial" w:eastAsia="Arial" w:hAnsi="Arial"/>
          <w:sz w:val="18"/>
          <w:szCs w:val="18"/>
          <w:b w:val="1"/>
          <w:bCs w:val="1"/>
          <w:color w:val="auto"/>
        </w:rPr>
      </w:pPr>
    </w:p>
    <w:p>
      <w:pPr>
        <w:ind w:right="180" w:firstLine="464"/>
        <w:spacing w:after="0" w:line="289" w:lineRule="auto"/>
        <w:tabs>
          <w:tab w:leader="none" w:pos="626" w:val="left"/>
        </w:tabs>
        <w:numPr>
          <w:ilvl w:val="1"/>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Employee represents and warrants that Employee’s execution of this Agreement, Employee’s employment with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Employee’s proposed duties under this Agreement shall not violate any obligations Employee may have to any other employer, person or entity, including any obligations with respect to proprietary or confidential information of any other person or entity.</w:t>
      </w:r>
    </w:p>
    <w:p>
      <w:pPr>
        <w:spacing w:after="0" w:line="306" w:lineRule="exact"/>
        <w:rPr>
          <w:rFonts w:ascii="Arial" w:cs="Arial" w:eastAsia="Arial" w:hAnsi="Arial"/>
          <w:sz w:val="17"/>
          <w:szCs w:val="17"/>
          <w:b w:val="1"/>
          <w:bCs w:val="1"/>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17" w:lineRule="exact"/>
        <w:rPr>
          <w:rFonts w:ascii="Arial" w:cs="Arial" w:eastAsia="Arial" w:hAnsi="Arial"/>
          <w:sz w:val="18"/>
          <w:szCs w:val="18"/>
          <w:b w:val="1"/>
          <w:bCs w:val="1"/>
          <w:color w:val="auto"/>
        </w:rPr>
      </w:pPr>
    </w:p>
    <w:p>
      <w:pPr>
        <w:ind w:right="100" w:firstLine="464"/>
        <w:spacing w:after="0" w:line="261" w:lineRule="auto"/>
        <w:tabs>
          <w:tab w:leader="none" w:pos="636" w:val="left"/>
        </w:tabs>
        <w:numPr>
          <w:ilvl w:val="1"/>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In consideration of the services to be rendered under this Agreement, the Company shall pay Employee a salary at the rate of SIXTY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($60,000) per year (“Base Salary”). The Base Salary shall be paid in accordance with the Company’s regularly established payroll practice. Employee’s Base Salary will be reviewed from time to time in accordance with the established procedures of the Company for adjusting salaries for similarly situated employees and may be adjusted in the sole discretion of the Company.</w:t>
      </w:r>
    </w:p>
    <w:p>
      <w:pPr>
        <w:spacing w:after="0" w:line="71" w:lineRule="exact"/>
        <w:rPr>
          <w:rFonts w:ascii="Arial" w:cs="Arial" w:eastAsia="Arial" w:hAnsi="Arial"/>
          <w:sz w:val="18"/>
          <w:szCs w:val="18"/>
          <w:b w:val="1"/>
          <w:bCs w:val="1"/>
          <w:color w:val="auto"/>
        </w:rPr>
      </w:pPr>
    </w:p>
    <w:p>
      <w:pPr>
        <w:ind w:right="480" w:firstLine="464"/>
        <w:spacing w:after="0" w:line="347" w:lineRule="auto"/>
        <w:tabs>
          <w:tab w:leader="none" w:pos="647" w:val="left"/>
        </w:tabs>
        <w:numPr>
          <w:ilvl w:val="1"/>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Employee shall be eligible to participate in the benefits made generally available by the Company to similarly-situated employees,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benefit plans established by the Company, and as may be amended from time to time in the Company’s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1" w:name="page212"/>
    <w:bookmarkEnd w:id="211"/>
    <w:p>
      <w:pPr>
        <w:ind w:right="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Expenses. </w:t>
      </w:r>
      <w:r>
        <w:rPr>
          <w:rFonts w:ascii="Arial" w:cs="Arial" w:eastAsia="Arial" w:hAnsi="Arial"/>
          <w:sz w:val="18"/>
          <w:szCs w:val="18"/>
          <w:color w:val="auto"/>
        </w:rPr>
        <w:t>The Company shall reimburse Employee for reasonable business expenses incurred in the performance of Employee’s duties hereunder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expense reimbursement guidelines.</w:t>
      </w:r>
    </w:p>
    <w:p>
      <w:pPr>
        <w:spacing w:after="0" w:line="310"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COMPANY</w:t>
      </w:r>
    </w:p>
    <w:p>
      <w:pPr>
        <w:spacing w:after="0" w:line="117"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Company. </w:t>
      </w:r>
      <w:r>
        <w:rPr>
          <w:rFonts w:ascii="Arial" w:cs="Arial" w:eastAsia="Arial" w:hAnsi="Arial"/>
          <w:sz w:val="18"/>
          <w:szCs w:val="18"/>
          <w:color w:val="auto"/>
        </w:rPr>
        <w:t>The employment of Employee shall be “at-will” at all times. The Company may terminate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Upon and after such termination, all obligations of the Company under this Agreement shall cease.</w:t>
      </w:r>
    </w:p>
    <w:p>
      <w:pPr>
        <w:spacing w:after="0" w:line="3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EMPLOYEE</w:t>
      </w:r>
    </w:p>
    <w:p>
      <w:pPr>
        <w:spacing w:after="0" w:line="117" w:lineRule="exact"/>
        <w:rPr>
          <w:rFonts w:ascii="Arial" w:cs="Arial" w:eastAsia="Arial" w:hAnsi="Arial"/>
          <w:sz w:val="18"/>
          <w:szCs w:val="18"/>
          <w:b w:val="1"/>
          <w:bCs w:val="1"/>
          <w:color w:val="auto"/>
        </w:rPr>
      </w:pPr>
    </w:p>
    <w:p>
      <w:pPr>
        <w:ind w:right="40" w:firstLine="464"/>
        <w:spacing w:after="0" w:line="258" w:lineRule="auto"/>
        <w:tabs>
          <w:tab w:leader="none" w:pos="636" w:val="left"/>
        </w:tabs>
        <w:numPr>
          <w:ilvl w:val="1"/>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Employee. </w:t>
      </w:r>
      <w:r>
        <w:rPr>
          <w:rFonts w:ascii="Arial" w:cs="Arial" w:eastAsia="Arial" w:hAnsi="Arial"/>
          <w:sz w:val="18"/>
          <w:szCs w:val="18"/>
          <w:color w:val="auto"/>
        </w:rPr>
        <w:t>Employee may terminate employment with the Company at any time for any reason or no reason at all, upon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days’ advance written notice. During such notice period Employee shall continue to diligently perform all of Employee’s duties hereunder. The Company shall have the option, in its sole discretion, to make Employee’s termination effective at any time prior to the end of such notice period as long as the Company pays Employee all compensation to which Employee is entitled up through the last day of the thirty day notice period. Thereafter all obligations of the Company shall cease.</w:t>
      </w:r>
    </w:p>
    <w:p>
      <w:pPr>
        <w:spacing w:after="0" w:line="3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OBLIGATIONS</w:t>
      </w:r>
    </w:p>
    <w:p>
      <w:pPr>
        <w:spacing w:after="0" w:line="117" w:lineRule="exact"/>
        <w:rPr>
          <w:rFonts w:ascii="Arial" w:cs="Arial" w:eastAsia="Arial" w:hAnsi="Arial"/>
          <w:sz w:val="18"/>
          <w:szCs w:val="18"/>
          <w:b w:val="1"/>
          <w:bCs w:val="1"/>
          <w:color w:val="auto"/>
        </w:rPr>
      </w:pPr>
    </w:p>
    <w:p>
      <w:pPr>
        <w:ind w:right="140" w:firstLine="464"/>
        <w:spacing w:after="0" w:line="289" w:lineRule="auto"/>
        <w:tabs>
          <w:tab w:leader="none" w:pos="636"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Employee agrees that all property (including without limitation all equipment, tangible proprietary information,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notes, contracts and computer-generated materials) furnished to or created or prepared by Employee incident to Employee’s employment belongs to the Company and shall be promptly returned to the Company upon termination of Employee’s employment.</w:t>
      </w:r>
    </w:p>
    <w:p>
      <w:pPr>
        <w:spacing w:after="0" w:line="50" w:lineRule="exact"/>
        <w:rPr>
          <w:rFonts w:ascii="Arial" w:cs="Arial" w:eastAsia="Arial" w:hAnsi="Arial"/>
          <w:sz w:val="17"/>
          <w:szCs w:val="17"/>
          <w:b w:val="1"/>
          <w:bCs w:val="1"/>
          <w:color w:val="auto"/>
        </w:rPr>
      </w:pPr>
    </w:p>
    <w:p>
      <w:pPr>
        <w:ind w:right="40" w:firstLine="464"/>
        <w:spacing w:after="0" w:line="289" w:lineRule="auto"/>
        <w:tabs>
          <w:tab w:leader="none" w:pos="647" w:val="left"/>
        </w:tabs>
        <w:numPr>
          <w:ilvl w:val="1"/>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and Cooperation. </w:t>
      </w:r>
      <w:r>
        <w:rPr>
          <w:rFonts w:ascii="Arial" w:cs="Arial" w:eastAsia="Arial" w:hAnsi="Arial"/>
          <w:sz w:val="17"/>
          <w:szCs w:val="17"/>
          <w:color w:val="auto"/>
        </w:rPr>
        <w:t>Following any termination of employment, Employee shall cooperate with the Company in the winding up of</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work on behalf of the Company and the orderly transfer of work to other employees. Employee shall also cooperate with the Company in the defense of any action brought by any third party against the Company that relates to Employee’s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12" w:name="page213"/>
    <w:bookmarkEnd w:id="212"/>
    <w:p>
      <w:pPr>
        <w:ind w:right="2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Continuing Obligations. </w:t>
      </w:r>
      <w:r>
        <w:rPr>
          <w:rFonts w:ascii="Arial" w:cs="Arial" w:eastAsia="Arial" w:hAnsi="Arial"/>
          <w:sz w:val="18"/>
          <w:szCs w:val="18"/>
          <w:color w:val="auto"/>
        </w:rPr>
        <w:t>Employee understands and agrees that Employee’s obligations under Sections 5 and 6 herein (including Exhibit A)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termination of Employee’s employment for any reason and the termination of this Agreement.</w:t>
      </w:r>
    </w:p>
    <w:p>
      <w:pPr>
        <w:spacing w:after="0" w:line="31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w:t>
      </w:r>
    </w:p>
    <w:p>
      <w:pPr>
        <w:spacing w:after="0" w:line="117" w:lineRule="exact"/>
        <w:rPr>
          <w:rFonts w:ascii="Arial" w:cs="Arial" w:eastAsia="Arial" w:hAnsi="Arial"/>
          <w:sz w:val="18"/>
          <w:szCs w:val="18"/>
          <w:b w:val="1"/>
          <w:bCs w:val="1"/>
          <w:color w:val="auto"/>
        </w:rPr>
      </w:pPr>
    </w:p>
    <w:p>
      <w:pPr>
        <w:ind w:right="800" w:firstLine="464"/>
        <w:spacing w:after="0" w:line="282" w:lineRule="auto"/>
        <w:tabs>
          <w:tab w:leader="none" w:pos="636"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Agreement. </w:t>
      </w:r>
      <w:r>
        <w:rPr>
          <w:rFonts w:ascii="Arial" w:cs="Arial" w:eastAsia="Arial" w:hAnsi="Arial"/>
          <w:sz w:val="18"/>
          <w:szCs w:val="18"/>
          <w:color w:val="auto"/>
        </w:rPr>
        <w:t>Employee agrees to sign and be bound by the terms of the Company’s Proprietary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Agreement, which is attached as Exhibit A (“Proprietary Information Agreement”).</w:t>
      </w:r>
    </w:p>
    <w:p>
      <w:pPr>
        <w:spacing w:after="0" w:line="53" w:lineRule="exact"/>
        <w:rPr>
          <w:rFonts w:ascii="Arial" w:cs="Arial" w:eastAsia="Arial" w:hAnsi="Arial"/>
          <w:sz w:val="18"/>
          <w:szCs w:val="18"/>
          <w:b w:val="1"/>
          <w:bCs w:val="1"/>
          <w:color w:val="auto"/>
        </w:rPr>
      </w:pPr>
    </w:p>
    <w:p>
      <w:pPr>
        <w:ind w:firstLine="464"/>
        <w:spacing w:after="0" w:line="256" w:lineRule="auto"/>
        <w:tabs>
          <w:tab w:leader="none" w:pos="646"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Third Party Information. </w:t>
      </w:r>
      <w:r>
        <w:rPr>
          <w:rFonts w:ascii="Arial" w:cs="Arial" w:eastAsia="Arial" w:hAnsi="Arial"/>
          <w:sz w:val="18"/>
          <w:szCs w:val="18"/>
          <w:color w:val="auto"/>
        </w:rPr>
        <w:t>Employee represents and warrants and covenants that Employee shall not disclose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induce the Company to use, any proprietary information or trade secrets of others at any time, including but not limited to any proprietary information or trade secrets of any former employer, if any; and Employee acknowledges and agrees that any violation of this provision shall be grounds for Employee’s immediate termination and could subject Employee to substantial civil liabilities and criminal penalties. Employee further specifically and expressly acknowledges that no officer or other employee or representative of the Company has requested or instructed Employee to disclose or use any such third party proprietary information or trade secrets.</w:t>
      </w:r>
    </w:p>
    <w:p>
      <w:pPr>
        <w:spacing w:after="0" w:line="336" w:lineRule="exact"/>
        <w:rPr>
          <w:rFonts w:ascii="Arial" w:cs="Arial" w:eastAsia="Arial" w:hAnsi="Arial"/>
          <w:sz w:val="18"/>
          <w:szCs w:val="18"/>
          <w:b w:val="1"/>
          <w:bCs w:val="1"/>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REMEDIES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Agreement may not be amended or waived except by a writing signed by Employee and by a duly authorized officer of the Company.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BINDING EFFECT</w:t>
      </w:r>
    </w:p>
    <w:p>
      <w:pPr>
        <w:spacing w:after="0" w:line="117" w:lineRule="exact"/>
        <w:rPr>
          <w:rFonts w:ascii="Arial" w:cs="Arial" w:eastAsia="Arial" w:hAnsi="Arial"/>
          <w:sz w:val="18"/>
          <w:szCs w:val="18"/>
          <w:b w:val="1"/>
          <w:bCs w:val="1"/>
          <w:color w:val="auto"/>
        </w:rPr>
      </w:pPr>
    </w:p>
    <w:p>
      <w:pPr>
        <w:ind w:right="260" w:firstLine="456"/>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Assignment. </w:t>
      </w:r>
      <w:r>
        <w:rPr>
          <w:rFonts w:ascii="Arial" w:cs="Arial" w:eastAsia="Arial" w:hAnsi="Arial"/>
          <w:sz w:val="18"/>
          <w:szCs w:val="18"/>
          <w:color w:val="auto"/>
        </w:rPr>
        <w:t>The performance of Employee is personal hereunder, and Employee agrees that Employee shall have no right to assign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or purport to assign any rights or obligations under this Agreement. This Agreement may be assigned or transferred by the Company, including in connection with any conversion of the Company into corporate form; and nothing in this Agreement shall prevent the consolidation, merger or sale of the Company or a sale of any or all or substantially all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13" w:name="page214"/>
    <w:bookmarkEnd w:id="213"/>
    <w:p>
      <w:pPr>
        <w:ind w:right="2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Binding Effect. </w:t>
      </w:r>
      <w:r>
        <w:rPr>
          <w:rFonts w:ascii="Arial" w:cs="Arial" w:eastAsia="Arial" w:hAnsi="Arial"/>
          <w:sz w:val="18"/>
          <w:szCs w:val="18"/>
          <w:color w:val="auto"/>
        </w:rPr>
        <w:t>Subject to the foregoing restriction on assignment by Employee, this Agreement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the affiliates, officers, directors, agents, successors and assigns of the Company; and the heirs, devisees, spouses, legal representatives and successors of Employee.</w:t>
      </w:r>
    </w:p>
    <w:p>
      <w:pPr>
        <w:spacing w:after="0" w:line="325"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notices or other communications required or permitted hereunder shall be made in writing and shall be deemed to have been duly given if delivered:</w:t>
      </w:r>
    </w:p>
    <w:p>
      <w:pPr>
        <w:spacing w:after="0" w:line="35" w:lineRule="exact"/>
        <w:rPr>
          <w:sz w:val="20"/>
          <w:szCs w:val="20"/>
          <w:color w:val="auto"/>
        </w:rPr>
      </w:pPr>
    </w:p>
    <w:p>
      <w:pPr>
        <w:ind w:right="40" w:firstLine="8"/>
        <w:spacing w:after="0" w:line="295" w:lineRule="auto"/>
        <w:tabs>
          <w:tab w:leader="none" w:pos="24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Employee shall be obligated to notify the Company in writing of any change in Employee’s address. Notice of change of address shall be effective only when done in accordance with this paragraph.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Company’s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Krystal Biotech,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Rhode Island Street, Suite # 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2473 Clay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94115.</w:t>
      </w:r>
    </w:p>
    <w:p>
      <w:pPr>
        <w:spacing w:after="0" w:line="355"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14" w:name="page215"/>
    <w:bookmarkEnd w:id="214"/>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amounts paid under this Agreement (including without limitation Base Salary) shall be paid less all applicable state and federal tax withholdings and any other withholdings required by any applicable jurisdiction or authorized by Employee.</w:t>
      </w:r>
    </w:p>
    <w:p>
      <w:pPr>
        <w:spacing w:after="0" w:line="315"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California.</w:t>
      </w:r>
    </w:p>
    <w:p>
      <w:pPr>
        <w:spacing w:after="0" w:line="370"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326"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315"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326"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This Agreement is intended to be the final, complete, and exclusive statement of the terms of Employee’s employment by the Company and may not be contradicted by evidence of any prior or contemporaneous statements or agreements, except for agreements specifically referenced herein (including the Employee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15" w:name="page216"/>
    <w:bookmarkEnd w:id="2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and Inventions Agreement attached as Exhibit A and the Company’s Equity Incentive Plan and Equity Incentive Agreement). To the extent that the practices, policies or procedures of the Company, now or in the future, apply to Employee and are inconsistent with the terms of this Agreement, the provisions of this Agreement shall control. Any subsequent change in Employee’s duties, position, or compensation will not affect the validity or scope of this Agreement.</w:t>
      </w:r>
    </w:p>
    <w:p>
      <w:pPr>
        <w:spacing w:after="0" w:line="33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ACKNOWLEDGEMENT</w:t>
      </w:r>
    </w:p>
    <w:p>
      <w:pPr>
        <w:spacing w:after="0" w:line="117"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Employee acknowledges Employee has had the opportunity to consult legal counsel concerning this agreement, that Employee has read and understands the agreement, that Employee is fully aware of its legal effect, and that Employee has entered into it freely based on Employee’s own judgment and not on any representations or promises other than those contained in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KRYSTAL BIOTECH, INC.</w:t>
            </w:r>
          </w:p>
        </w:tc>
        <w:tc>
          <w:tcPr>
            <w:tcW w:w="12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Krish Krishnan</w:t>
            </w:r>
          </w:p>
        </w:tc>
        <w:tc>
          <w:tcPr>
            <w:tcW w:w="1240" w:type="dxa"/>
            <w:vAlign w:val="bottom"/>
          </w:tcPr>
          <w:p>
            <w:pPr>
              <w:spacing w:after="0"/>
              <w:rPr>
                <w:sz w:val="24"/>
                <w:szCs w:val="24"/>
                <w:color w:val="auto"/>
              </w:rPr>
            </w:pPr>
          </w:p>
        </w:tc>
        <w:tc>
          <w:tcPr>
            <w:tcW w:w="46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Suma Krishnan</w:t>
            </w:r>
          </w:p>
        </w:tc>
      </w:tr>
      <w:tr>
        <w:trPr>
          <w:trHeight w:val="224"/>
        </w:trPr>
        <w:tc>
          <w:tcPr>
            <w:tcW w:w="700" w:type="dxa"/>
            <w:vAlign w:val="bottom"/>
          </w:tcPr>
          <w:p>
            <w:pPr>
              <w:spacing w:after="0"/>
              <w:rPr>
                <w:sz w:val="19"/>
                <w:szCs w:val="19"/>
                <w:color w:val="auto"/>
              </w:rPr>
            </w:pPr>
          </w:p>
        </w:tc>
        <w:tc>
          <w:tcPr>
            <w:tcW w:w="4800" w:type="dxa"/>
            <w:vAlign w:val="bottom"/>
          </w:tcPr>
          <w:p>
            <w:pPr>
              <w:ind w:left="900"/>
              <w:spacing w:after="0"/>
              <w:rPr>
                <w:sz w:val="20"/>
                <w:szCs w:val="20"/>
                <w:color w:val="auto"/>
              </w:rPr>
            </w:pPr>
            <w:r>
              <w:rPr>
                <w:rFonts w:ascii="Arial" w:cs="Arial" w:eastAsia="Arial" w:hAnsi="Arial"/>
                <w:sz w:val="18"/>
                <w:szCs w:val="18"/>
                <w:color w:val="auto"/>
              </w:rPr>
              <w:t>Name</w:t>
            </w:r>
          </w:p>
        </w:tc>
        <w:tc>
          <w:tcPr>
            <w:tcW w:w="1240" w:type="dxa"/>
            <w:vAlign w:val="bottom"/>
          </w:tcPr>
          <w:p>
            <w:pPr>
              <w:spacing w:after="0"/>
              <w:rPr>
                <w:sz w:val="19"/>
                <w:szCs w:val="19"/>
                <w:color w:val="auto"/>
              </w:rPr>
            </w:pPr>
          </w:p>
        </w:tc>
        <w:tc>
          <w:tcPr>
            <w:tcW w:w="4680" w:type="dxa"/>
            <w:vAlign w:val="bottom"/>
          </w:tcPr>
          <w:p>
            <w:pPr>
              <w:ind w:left="900"/>
              <w:spacing w:after="0"/>
              <w:rPr>
                <w:sz w:val="20"/>
                <w:szCs w:val="20"/>
                <w:color w:val="auto"/>
              </w:rPr>
            </w:pPr>
            <w:r>
              <w:rPr>
                <w:rFonts w:ascii="Arial" w:cs="Arial" w:eastAsia="Arial" w:hAnsi="Arial"/>
                <w:sz w:val="18"/>
                <w:szCs w:val="18"/>
                <w:color w:val="auto"/>
              </w:rPr>
              <w:t>Suma Krishnan (May 7, 2017)</w:t>
            </w:r>
          </w:p>
        </w:tc>
      </w:tr>
      <w:tr>
        <w:trPr>
          <w:trHeight w:val="431"/>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CEO</w:t>
            </w: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64"/>
        </w:trPr>
        <w:tc>
          <w:tcPr>
            <w:tcW w:w="70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tcPr>
          <w:p>
            <w:pPr>
              <w:spacing w:after="0"/>
              <w:rPr>
                <w:sz w:val="22"/>
                <w:szCs w:val="22"/>
                <w:color w:val="auto"/>
              </w:rPr>
            </w:pPr>
          </w:p>
        </w:tc>
      </w:tr>
      <w:tr>
        <w:trPr>
          <w:trHeight w:val="399"/>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6</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Employment Agreement (“the Agreement”), dated May 1, 2017, is between Krystal Biotech, Inc., a Delaware corporation] (the “Company”) and POOJA AGARWAL, (“Employee”), and reflects the Company’s and Employee’s desire to establish a full employment relationship following Employee’s service to Krystal Biotech, LLC, a predecessor of the Company.</w:t>
      </w:r>
    </w:p>
    <w:p>
      <w:pPr>
        <w:spacing w:after="0" w:line="326"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RESPONSIBILITIES</w:t>
      </w:r>
    </w:p>
    <w:p>
      <w:pPr>
        <w:spacing w:after="0" w:line="117" w:lineRule="exact"/>
        <w:rPr>
          <w:rFonts w:ascii="Arial" w:cs="Arial" w:eastAsia="Arial" w:hAnsi="Arial"/>
          <w:sz w:val="18"/>
          <w:szCs w:val="18"/>
          <w:b w:val="1"/>
          <w:bCs w:val="1"/>
          <w:color w:val="auto"/>
        </w:rPr>
      </w:pPr>
    </w:p>
    <w:p>
      <w:pPr>
        <w:ind w:right="240" w:firstLine="464"/>
        <w:spacing w:after="0" w:line="261" w:lineRule="auto"/>
        <w:tabs>
          <w:tab w:leader="none" w:pos="636" w:val="left"/>
        </w:tabs>
        <w:numPr>
          <w:ilvl w:val="1"/>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Employee is employed by the Company to render services to the Company in the position of VICE PRESIDENT,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Employee shall perform such duties and responsibilities as are normally related to such position in accordance with the standards of the industry and any additional duties now or hereafter assigned to Employee by the Company. Employee shall abide by the rules, regulations, and practices as adopted or modified from time to time in the Company’s sole discretion.</w:t>
      </w:r>
    </w:p>
    <w:p>
      <w:pPr>
        <w:spacing w:after="0" w:line="71" w:lineRule="exact"/>
        <w:rPr>
          <w:rFonts w:ascii="Arial" w:cs="Arial" w:eastAsia="Arial" w:hAnsi="Arial"/>
          <w:sz w:val="18"/>
          <w:szCs w:val="18"/>
          <w:b w:val="1"/>
          <w:bCs w:val="1"/>
          <w:color w:val="auto"/>
        </w:rPr>
      </w:pPr>
    </w:p>
    <w:p>
      <w:pPr>
        <w:ind w:right="100" w:firstLine="464"/>
        <w:spacing w:after="0" w:line="266" w:lineRule="auto"/>
        <w:tabs>
          <w:tab w:leader="none" w:pos="647" w:val="left"/>
        </w:tabs>
        <w:numPr>
          <w:ilvl w:val="1"/>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Activities. </w:t>
      </w:r>
      <w:r>
        <w:rPr>
          <w:rFonts w:ascii="Arial" w:cs="Arial" w:eastAsia="Arial" w:hAnsi="Arial"/>
          <w:sz w:val="18"/>
          <w:szCs w:val="18"/>
          <w:color w:val="auto"/>
        </w:rPr>
        <w:t>Except upon the prior written consent of the Company, Employee will not, during the term of this Agreement, (i) accept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(ii) engage, directly or indirectly, in any other business activity (whether or not pursued for pecuniary advantage) that might interfere with Employee’s duties and responsibilities hereunder or create a conflict of interest with the Company.</w:t>
      </w:r>
    </w:p>
    <w:p>
      <w:pPr>
        <w:spacing w:after="0" w:line="68" w:lineRule="exact"/>
        <w:rPr>
          <w:rFonts w:ascii="Arial" w:cs="Arial" w:eastAsia="Arial" w:hAnsi="Arial"/>
          <w:sz w:val="18"/>
          <w:szCs w:val="18"/>
          <w:b w:val="1"/>
          <w:bCs w:val="1"/>
          <w:color w:val="auto"/>
        </w:rPr>
      </w:pPr>
    </w:p>
    <w:p>
      <w:pPr>
        <w:ind w:right="180" w:firstLine="464"/>
        <w:spacing w:after="0" w:line="289" w:lineRule="auto"/>
        <w:tabs>
          <w:tab w:leader="none" w:pos="626" w:val="left"/>
        </w:tabs>
        <w:numPr>
          <w:ilvl w:val="1"/>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Employee represents and warrants that Employee’s execution of this Agreement, Employee’s employment with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Employee’s proposed duties under this Agreement shall not violate any obligations Employee may have to any other employer, person or entity, including any obligations with respect to proprietary or confidential information of any other person or entity.</w:t>
      </w:r>
    </w:p>
    <w:p>
      <w:pPr>
        <w:spacing w:after="0" w:line="306" w:lineRule="exact"/>
        <w:rPr>
          <w:rFonts w:ascii="Arial" w:cs="Arial" w:eastAsia="Arial" w:hAnsi="Arial"/>
          <w:sz w:val="17"/>
          <w:szCs w:val="17"/>
          <w:b w:val="1"/>
          <w:bCs w:val="1"/>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17" w:lineRule="exact"/>
        <w:rPr>
          <w:rFonts w:ascii="Arial" w:cs="Arial" w:eastAsia="Arial" w:hAnsi="Arial"/>
          <w:sz w:val="18"/>
          <w:szCs w:val="18"/>
          <w:b w:val="1"/>
          <w:bCs w:val="1"/>
          <w:color w:val="auto"/>
        </w:rPr>
      </w:pPr>
    </w:p>
    <w:p>
      <w:pPr>
        <w:ind w:right="60" w:firstLine="464"/>
        <w:spacing w:after="0" w:line="281" w:lineRule="auto"/>
        <w:tabs>
          <w:tab w:leader="none" w:pos="636" w:val="left"/>
        </w:tabs>
        <w:numPr>
          <w:ilvl w:val="1"/>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In consideration of the services to be rendered under this Agreement, the Company shall pay Employee a salary at the rate of ONE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AND SIXTY FIVE THOUSAND Dollars ($165,000) per year (“Base Salary”). The Base Salary shall be paid in accordance with the Company’s regularly established payroll practice. Employee’s Base Salary will be reviewed from time to time in accordance with the established procedures of the Company for adjusting salaries for similarly situated employees and may be adjusted in the sole discretion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7" w:name="page218"/>
    <w:bookmarkEnd w:id="217"/>
    <w:p>
      <w:pPr>
        <w:ind w:right="20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8"/>
          <w:szCs w:val="18"/>
          <w:color w:val="auto"/>
        </w:rPr>
        <w:t>Stock Options. The Company shall recommend to the Board of Directors that Employee be provided with an option to purchase 2000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the Company. This recommendation will be considered for approval at the Company’s next Board of Directors’ meeting. The price per share of any approved options will be determined at that meeting. Employee’s entitlement to any stock options that may be approved is conditioned upon Employee’s signing of an appropriate Equity Incentive Agreement and is subject to its terms and the terms of the Equity Incentive Plan under which the options are granted, including vesting requirements.</w:t>
      </w:r>
    </w:p>
    <w:p>
      <w:pPr>
        <w:spacing w:after="0" w:line="76" w:lineRule="exact"/>
        <w:rPr>
          <w:sz w:val="20"/>
          <w:szCs w:val="20"/>
          <w:color w:val="auto"/>
        </w:rPr>
      </w:pPr>
    </w:p>
    <w:p>
      <w:pPr>
        <w:ind w:right="500" w:firstLine="456"/>
        <w:spacing w:after="0" w:line="347" w:lineRule="auto"/>
        <w:rPr>
          <w:sz w:val="20"/>
          <w:szCs w:val="20"/>
          <w:color w:val="auto"/>
        </w:rPr>
      </w:pPr>
      <w:r>
        <w:rPr>
          <w:rFonts w:ascii="Arial" w:cs="Arial" w:eastAsia="Arial" w:hAnsi="Arial"/>
          <w:sz w:val="16"/>
          <w:szCs w:val="16"/>
          <w:b w:val="1"/>
          <w:bCs w:val="1"/>
          <w:color w:val="auto"/>
        </w:rPr>
        <w:t xml:space="preserve">c. Benefits. </w:t>
      </w:r>
      <w:r>
        <w:rPr>
          <w:rFonts w:ascii="Arial" w:cs="Arial" w:eastAsia="Arial" w:hAnsi="Arial"/>
          <w:sz w:val="16"/>
          <w:szCs w:val="16"/>
          <w:color w:val="auto"/>
        </w:rPr>
        <w:t>Employee shall be eligible to participate in the benefits made generally available by the Company to similarly-situated employees,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benefit plans established by the Company, and as may be amended from time to time in the Company’s sole discretion.</w:t>
      </w:r>
    </w:p>
    <w:p>
      <w:pPr>
        <w:spacing w:after="0" w:line="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d. Expenses. </w:t>
      </w:r>
      <w:r>
        <w:rPr>
          <w:rFonts w:ascii="Arial" w:cs="Arial" w:eastAsia="Arial" w:hAnsi="Arial"/>
          <w:sz w:val="18"/>
          <w:szCs w:val="18"/>
          <w:color w:val="auto"/>
        </w:rPr>
        <w:t>The Company shall reimburse Employee for reasonable business expenses incurred in the performance of Employee’s duties hereunder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expense reimbursement guidelines.</w:t>
      </w:r>
    </w:p>
    <w:p>
      <w:pPr>
        <w:spacing w:after="0" w:line="310"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COMPANY</w:t>
      </w:r>
    </w:p>
    <w:p>
      <w:pPr>
        <w:spacing w:after="0" w:line="117" w:lineRule="exact"/>
        <w:rPr>
          <w:rFonts w:ascii="Arial" w:cs="Arial" w:eastAsia="Arial" w:hAnsi="Arial"/>
          <w:sz w:val="18"/>
          <w:szCs w:val="18"/>
          <w:b w:val="1"/>
          <w:bCs w:val="1"/>
          <w:color w:val="auto"/>
        </w:rPr>
      </w:pPr>
    </w:p>
    <w:p>
      <w:pPr>
        <w:ind w:firstLine="464"/>
        <w:spacing w:after="0" w:line="261" w:lineRule="auto"/>
        <w:tabs>
          <w:tab w:leader="none" w:pos="636" w:val="left"/>
        </w:tabs>
        <w:numPr>
          <w:ilvl w:val="1"/>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Company. </w:t>
      </w:r>
      <w:r>
        <w:rPr>
          <w:rFonts w:ascii="Arial" w:cs="Arial" w:eastAsia="Arial" w:hAnsi="Arial"/>
          <w:sz w:val="18"/>
          <w:szCs w:val="18"/>
          <w:color w:val="auto"/>
        </w:rPr>
        <w:t>The employment of Employee shall be “at-will” at all times. The Company may terminate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Upon and after such termination, all obligations of the Company under this Agreement shall cease.</w:t>
      </w:r>
    </w:p>
    <w:p>
      <w:pPr>
        <w:spacing w:after="0" w:line="3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 TERMINATION BY EMPLOYEE</w:t>
      </w:r>
    </w:p>
    <w:p>
      <w:pPr>
        <w:spacing w:after="0" w:line="117" w:lineRule="exact"/>
        <w:rPr>
          <w:rFonts w:ascii="Arial" w:cs="Arial" w:eastAsia="Arial" w:hAnsi="Arial"/>
          <w:sz w:val="18"/>
          <w:szCs w:val="18"/>
          <w:b w:val="1"/>
          <w:bCs w:val="1"/>
          <w:color w:val="auto"/>
        </w:rPr>
      </w:pPr>
    </w:p>
    <w:p>
      <w:pPr>
        <w:ind w:right="40" w:firstLine="464"/>
        <w:spacing w:after="0" w:line="258" w:lineRule="auto"/>
        <w:tabs>
          <w:tab w:leader="none" w:pos="636" w:val="left"/>
        </w:tabs>
        <w:numPr>
          <w:ilvl w:val="1"/>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Termination by Employee. </w:t>
      </w:r>
      <w:r>
        <w:rPr>
          <w:rFonts w:ascii="Arial" w:cs="Arial" w:eastAsia="Arial" w:hAnsi="Arial"/>
          <w:sz w:val="18"/>
          <w:szCs w:val="18"/>
          <w:color w:val="auto"/>
        </w:rPr>
        <w:t>Employee may terminate employment with the Company at any time for any reason or no reason at all, upon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days’ advance written notice. During such notice period Employee shall continue to diligently perform all of Employee’s duties hereunder. The Company shall have the option, in its sole discretion, to make Employee’s termination effective at any time prior to the end of such notice period as long as the Company pays Employee all compensation to which Employee is entitled up through the last day of the thirty day notice period. Thereafter all obligations of the Company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18" w:name="page219"/>
    <w:bookmarkEnd w:id="218"/>
    <w:p>
      <w:pPr>
        <w:ind w:left="452" w:hanging="452"/>
        <w:spacing w:after="0"/>
        <w:tabs>
          <w:tab w:leader="none" w:pos="4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OBLIGATIONS</w:t>
      </w:r>
    </w:p>
    <w:p>
      <w:pPr>
        <w:spacing w:after="0" w:line="117" w:lineRule="exact"/>
        <w:rPr>
          <w:rFonts w:ascii="Arial" w:cs="Arial" w:eastAsia="Arial" w:hAnsi="Arial"/>
          <w:sz w:val="18"/>
          <w:szCs w:val="18"/>
          <w:b w:val="1"/>
          <w:bCs w:val="1"/>
          <w:color w:val="auto"/>
        </w:rPr>
      </w:pPr>
    </w:p>
    <w:p>
      <w:pPr>
        <w:ind w:left="-8" w:right="140" w:firstLine="464"/>
        <w:spacing w:after="0" w:line="289" w:lineRule="auto"/>
        <w:tabs>
          <w:tab w:leader="none" w:pos="628"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Employee agrees that all property (including without limitation all equipment, tangible proprietary information,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notes, contracts and computer-generated materials) furnished to or created or prepared by Employee incident to Employee’s employment belongs to the Company and shall be promptly returned to the Company upon termination of Employee’s employment.</w:t>
      </w:r>
    </w:p>
    <w:p>
      <w:pPr>
        <w:spacing w:after="0" w:line="50" w:lineRule="exact"/>
        <w:rPr>
          <w:rFonts w:ascii="Arial" w:cs="Arial" w:eastAsia="Arial" w:hAnsi="Arial"/>
          <w:sz w:val="17"/>
          <w:szCs w:val="17"/>
          <w:b w:val="1"/>
          <w:bCs w:val="1"/>
          <w:color w:val="auto"/>
        </w:rPr>
      </w:pPr>
    </w:p>
    <w:p>
      <w:pPr>
        <w:ind w:left="-8" w:right="40" w:firstLine="464"/>
        <w:spacing w:after="0" w:line="289" w:lineRule="auto"/>
        <w:tabs>
          <w:tab w:leader="none" w:pos="639" w:val="left"/>
        </w:tabs>
        <w:numPr>
          <w:ilvl w:val="1"/>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Resignation and Cooperation. </w:t>
      </w:r>
      <w:r>
        <w:rPr>
          <w:rFonts w:ascii="Arial" w:cs="Arial" w:eastAsia="Arial" w:hAnsi="Arial"/>
          <w:sz w:val="17"/>
          <w:szCs w:val="17"/>
          <w:color w:val="auto"/>
        </w:rPr>
        <w:t>Following any termination of employment, Employee shall cooperate with the Company in the winding up of</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work on behalf of the Company and the orderly transfer of work to other employees. Employee shall also cooperate with the Company in the defense of any action brought by any third party against the Company that relates to Employee’s employment by the Company.</w:t>
      </w:r>
    </w:p>
    <w:p>
      <w:pPr>
        <w:spacing w:after="0" w:line="50" w:lineRule="exact"/>
        <w:rPr>
          <w:rFonts w:ascii="Arial" w:cs="Arial" w:eastAsia="Arial" w:hAnsi="Arial"/>
          <w:sz w:val="17"/>
          <w:szCs w:val="17"/>
          <w:b w:val="1"/>
          <w:bCs w:val="1"/>
          <w:color w:val="auto"/>
        </w:rPr>
      </w:pPr>
    </w:p>
    <w:p>
      <w:pPr>
        <w:ind w:left="-8" w:right="240" w:firstLine="464"/>
        <w:spacing w:after="0" w:line="282" w:lineRule="auto"/>
        <w:tabs>
          <w:tab w:leader="none" w:pos="618"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Continuing Obligations. </w:t>
      </w:r>
      <w:r>
        <w:rPr>
          <w:rFonts w:ascii="Arial" w:cs="Arial" w:eastAsia="Arial" w:hAnsi="Arial"/>
          <w:sz w:val="18"/>
          <w:szCs w:val="18"/>
          <w:color w:val="auto"/>
        </w:rPr>
        <w:t>Employee understands and agrees that Employee’s obligations under Sections 5 and 6 herein (including Exhibit A)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termination of Employee’s employment for any reason and the termination of this Agreement.</w:t>
      </w:r>
    </w:p>
    <w:p>
      <w:pPr>
        <w:spacing w:after="0" w:line="310" w:lineRule="exact"/>
        <w:rPr>
          <w:rFonts w:ascii="Arial" w:cs="Arial" w:eastAsia="Arial" w:hAnsi="Arial"/>
          <w:sz w:val="18"/>
          <w:szCs w:val="18"/>
          <w:b w:val="1"/>
          <w:bCs w:val="1"/>
          <w:color w:val="auto"/>
        </w:rPr>
      </w:pPr>
    </w:p>
    <w:p>
      <w:pPr>
        <w:ind w:left="452" w:hanging="452"/>
        <w:spacing w:after="0"/>
        <w:tabs>
          <w:tab w:leader="none" w:pos="45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 NONCOMPETITION</w:t>
      </w:r>
    </w:p>
    <w:p>
      <w:pPr>
        <w:spacing w:after="0" w:line="117" w:lineRule="exact"/>
        <w:rPr>
          <w:rFonts w:ascii="Arial" w:cs="Arial" w:eastAsia="Arial" w:hAnsi="Arial"/>
          <w:sz w:val="18"/>
          <w:szCs w:val="18"/>
          <w:b w:val="1"/>
          <w:bCs w:val="1"/>
          <w:color w:val="auto"/>
        </w:rPr>
      </w:pPr>
    </w:p>
    <w:p>
      <w:pPr>
        <w:ind w:left="-8" w:right="800" w:firstLine="464"/>
        <w:spacing w:after="0" w:line="282" w:lineRule="auto"/>
        <w:tabs>
          <w:tab w:leader="none" w:pos="628"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Agreement. </w:t>
      </w:r>
      <w:r>
        <w:rPr>
          <w:rFonts w:ascii="Arial" w:cs="Arial" w:eastAsia="Arial" w:hAnsi="Arial"/>
          <w:sz w:val="18"/>
          <w:szCs w:val="18"/>
          <w:color w:val="auto"/>
        </w:rPr>
        <w:t>Employee agrees to sign and be bound by the terms of the Company’s Proprietary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Agreement, which is attached as Exhibit A (“Proprietary Information Agreement”).</w:t>
      </w:r>
    </w:p>
    <w:p>
      <w:pPr>
        <w:spacing w:after="0" w:line="53" w:lineRule="exact"/>
        <w:rPr>
          <w:rFonts w:ascii="Arial" w:cs="Arial" w:eastAsia="Arial" w:hAnsi="Arial"/>
          <w:sz w:val="18"/>
          <w:szCs w:val="18"/>
          <w:b w:val="1"/>
          <w:bCs w:val="1"/>
          <w:color w:val="auto"/>
        </w:rPr>
      </w:pPr>
    </w:p>
    <w:p>
      <w:pPr>
        <w:ind w:left="-8" w:firstLine="464"/>
        <w:spacing w:after="0" w:line="256" w:lineRule="auto"/>
        <w:tabs>
          <w:tab w:leader="none" w:pos="638"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Third Party Information. </w:t>
      </w:r>
      <w:r>
        <w:rPr>
          <w:rFonts w:ascii="Arial" w:cs="Arial" w:eastAsia="Arial" w:hAnsi="Arial"/>
          <w:sz w:val="18"/>
          <w:szCs w:val="18"/>
          <w:color w:val="auto"/>
        </w:rPr>
        <w:t>Employee represents and warrants and covenants that Employee shall not disclose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use, or induce the Company to use, any proprietary information or trade secrets of others at any time, including but not limited to any proprietary information or trade secrets of any former employer, if any; and Employee acknowledges and agrees that any violation of this provision shall be grounds for Employee’s immediate termination and could subject Employee to substantial civil liabilities and criminal penalties. Employee further specifically and expressly acknowledges that no officer or other employee or representative of the Company has requested or instructed Employee to disclose or use any such third party proprietary information or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0" w:right="239" w:bottom="1440" w:gutter="0" w:footer="0" w:header="0"/>
        </w:sectPr>
      </w:pPr>
    </w:p>
    <w:bookmarkStart w:id="219" w:name="page220"/>
    <w:bookmarkEnd w:id="219"/>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Noncompetition. </w:t>
      </w:r>
      <w:r>
        <w:rPr>
          <w:rFonts w:ascii="Arial" w:cs="Arial" w:eastAsia="Arial" w:hAnsi="Arial"/>
          <w:sz w:val="16"/>
          <w:szCs w:val="16"/>
          <w:color w:val="auto"/>
        </w:rPr>
        <w:t>In consideration of the Company’s extension to Employee of full time employment with the Company, Employee agrees that, at no</w:t>
      </w:r>
      <w:r>
        <w:rPr>
          <w:rFonts w:ascii="Arial" w:cs="Arial" w:eastAsia="Arial" w:hAnsi="Arial"/>
          <w:sz w:val="16"/>
          <w:szCs w:val="16"/>
          <w:b w:val="1"/>
          <w:bCs w:val="1"/>
          <w:color w:val="auto"/>
        </w:rPr>
        <w:t xml:space="preserve"> </w:t>
      </w:r>
      <w:r>
        <w:rPr>
          <w:rFonts w:ascii="Arial" w:cs="Arial" w:eastAsia="Arial" w:hAnsi="Arial"/>
          <w:sz w:val="16"/>
          <w:szCs w:val="16"/>
          <w:color w:val="auto"/>
        </w:rPr>
        <w:t>time during Employee’s employment with the Company, and for a period of one (1) ) year immediately following the termination of such employment (regardless of the reason for or the party initiating the termination), Employee will not, directly or indirectly, on Employee’s own behalf or on behalf of any third party, in any capacity (whether as a proprietor, stockholder, partner, officer, employee, consultant, contractor, or otherwise), work for, be a consultant for, be employed by, or provide strategic advice to any Competitor, where the services the Employee would render to the Competitor are similar to those which the Employee performed for the Company. As used herein, Competitor means any person or entity that (a) is engaged in the development of products or technologies which may compete with the products or technologies under development by the Company at the time of Employee’s termination or within the twelve (12) month period immediately preceding such termination; and (b) is located within the territory of the United States. This provision does not apply to (1) the Employee’s passive ownership of not more than 2% of the outstanding, publicly traded securities of another company; and (2) work in a capacity that is unrelated to development or of products or technologies which may compete with those under development by the Company.</w:t>
      </w:r>
    </w:p>
    <w:p>
      <w:pPr>
        <w:spacing w:after="0" w:line="310"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REMEDIES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Agreement may not be amended or waived except by a writing signed by Employee and by a duly authorized officer of the Company.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31"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BINDING EFFECT</w:t>
      </w:r>
    </w:p>
    <w:p>
      <w:pPr>
        <w:spacing w:after="0" w:line="117" w:lineRule="exact"/>
        <w:rPr>
          <w:rFonts w:ascii="Arial" w:cs="Arial" w:eastAsia="Arial" w:hAnsi="Arial"/>
          <w:sz w:val="18"/>
          <w:szCs w:val="18"/>
          <w:b w:val="1"/>
          <w:bCs w:val="1"/>
          <w:color w:val="auto"/>
        </w:rPr>
      </w:pPr>
    </w:p>
    <w:p>
      <w:pPr>
        <w:ind w:right="260" w:firstLine="464"/>
        <w:spacing w:after="0" w:line="261" w:lineRule="auto"/>
        <w:tabs>
          <w:tab w:leader="none" w:pos="636"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The performance of Employee is personal hereunder, and Employee agrees that Employee shall have no right to assign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or purport to assign any rights or obligations under this Agreement. This Agreement may be assigned or transferred by the Company, including in connection with any conversion of the Company into corporate form; and nothing in this Agreement shall prevent the consolidation, merger or sale of the Company or a sale of any or all or substantially all of its assets.</w:t>
      </w:r>
    </w:p>
    <w:p>
      <w:pPr>
        <w:spacing w:after="0" w:line="71" w:lineRule="exact"/>
        <w:rPr>
          <w:rFonts w:ascii="Arial" w:cs="Arial" w:eastAsia="Arial" w:hAnsi="Arial"/>
          <w:sz w:val="18"/>
          <w:szCs w:val="18"/>
          <w:b w:val="1"/>
          <w:bCs w:val="1"/>
          <w:color w:val="auto"/>
        </w:rPr>
      </w:pPr>
    </w:p>
    <w:p>
      <w:pPr>
        <w:ind w:right="40" w:firstLine="464"/>
        <w:spacing w:after="0" w:line="266" w:lineRule="auto"/>
        <w:tabs>
          <w:tab w:leader="none" w:pos="647"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Subject to the foregoing restriction on assignment by Employee, this Agreement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the affiliates, officers, directors, agents, successors and assigns of the Company; and the heirs, devisees, spouses, legal representatives and successors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20" w:name="page221"/>
    <w:bookmarkEnd w:id="220"/>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notices or other communications required or permitted hereunder shall be made in writing and shall be deemed to have been duly given if delivered:</w:t>
      </w:r>
    </w:p>
    <w:p>
      <w:pPr>
        <w:spacing w:after="0" w:line="35" w:lineRule="exact"/>
        <w:rPr>
          <w:sz w:val="20"/>
          <w:szCs w:val="20"/>
          <w:color w:val="auto"/>
        </w:rPr>
      </w:pPr>
    </w:p>
    <w:p>
      <w:pPr>
        <w:ind w:right="40" w:firstLine="8"/>
        <w:spacing w:after="0" w:line="295" w:lineRule="auto"/>
        <w:tabs>
          <w:tab w:leader="none" w:pos="24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Employee shall be obligated to notify the Company in writing of any change in Employee’s address. Notice of change of address shall be effective only when done in accordance with this paragraph.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Company’s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Krystal Biotech,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Rhode Island Street, Suite # 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Employee’s Notice Address: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19338 Ranworth Dr, Germantown MD 20874.</w:t>
      </w:r>
    </w:p>
    <w:p>
      <w:pPr>
        <w:spacing w:after="0" w:line="370"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316"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amounts paid under this Agreement (including without limitation Base Salary) shall be paid less all applicable state and federal tax withholdings and any other withholdings required by any applicable jurisdiction or authorized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21" w:name="page222"/>
    <w:bookmarkEnd w:id="221"/>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Pennsylvania.</w:t>
      </w:r>
    </w:p>
    <w:p>
      <w:pPr>
        <w:spacing w:after="0" w:line="370"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326"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315"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326"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This Agreement is intended to be the final, complete, and exclusive statement of the terms of Employee’s employment by the Company and may not be contradicted by evidence of any prior or contemporaneous statements or agreements, except for agreements specifically referenced herein (including the Employee Proprietary Information and Inventions Agreement attached as Exhibit A and the Company’s Equity Incentive Plan and Equity Incentive Agreement). To the extent that the practices, policies or procedures of the Company, now or in the future, apply to Employee and are inconsistent with the terms of this Agreement, the provisions of this Agreement shall control. Any subsequent change in Employee’s duties, position,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222" w:name="page223"/>
    <w:bookmarkEnd w:id="222"/>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ACKNOWLEDGEMENT</w:t>
      </w:r>
    </w:p>
    <w:p>
      <w:pPr>
        <w:spacing w:after="0" w:line="117"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Employee acknowledges Employee has had the opportunity to consult legal counsel concerning this agreement, that Employee has read and understands the agreement, that Employee is fully aware of its legal effect, and that Employee has entered into it freely based on Employee’s own judgment and not on any representations or promises other than those contained in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KRYSTAL BIOTECH, INC.</w:t>
            </w:r>
          </w:p>
        </w:tc>
        <w:tc>
          <w:tcPr>
            <w:tcW w:w="2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4"/>
              </w:rPr>
              <w:t>/s/ Krish Krishnan</w:t>
            </w:r>
          </w:p>
        </w:tc>
        <w:tc>
          <w:tcPr>
            <w:tcW w:w="27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Pooja Agarwal</w:t>
            </w:r>
          </w:p>
        </w:tc>
      </w:tr>
      <w:tr>
        <w:trPr>
          <w:trHeight w:val="224"/>
        </w:trPr>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780" w:type="dxa"/>
            <w:vAlign w:val="bottom"/>
          </w:tcPr>
          <w:p>
            <w:pPr>
              <w:jc w:val="center"/>
              <w:ind w:right="2170"/>
              <w:spacing w:after="0"/>
              <w:rPr>
                <w:sz w:val="20"/>
                <w:szCs w:val="20"/>
                <w:color w:val="auto"/>
              </w:rPr>
            </w:pPr>
            <w:r>
              <w:rPr>
                <w:rFonts w:ascii="Arial" w:cs="Arial" w:eastAsia="Arial" w:hAnsi="Arial"/>
                <w:sz w:val="18"/>
                <w:szCs w:val="18"/>
                <w:color w:val="auto"/>
                <w:w w:val="91"/>
              </w:rPr>
              <w:t>Name</w:t>
            </w:r>
          </w:p>
        </w:tc>
        <w:tc>
          <w:tcPr>
            <w:tcW w:w="10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2170"/>
              <w:spacing w:after="0"/>
              <w:rPr>
                <w:sz w:val="20"/>
                <w:szCs w:val="20"/>
                <w:color w:val="auto"/>
              </w:rPr>
            </w:pPr>
            <w:r>
              <w:rPr>
                <w:rFonts w:ascii="Arial" w:cs="Arial" w:eastAsia="Arial" w:hAnsi="Arial"/>
                <w:sz w:val="18"/>
                <w:szCs w:val="18"/>
                <w:color w:val="auto"/>
                <w:w w:val="92"/>
              </w:rPr>
              <w:t>CEO</w:t>
            </w:r>
          </w:p>
        </w:tc>
        <w:tc>
          <w:tcPr>
            <w:tcW w:w="5800" w:type="dxa"/>
            <w:vAlign w:val="bottom"/>
            <w:gridSpan w:val="2"/>
          </w:tcPr>
          <w:p>
            <w:pPr>
              <w:spacing w:after="0"/>
              <w:rPr>
                <w:sz w:val="24"/>
                <w:szCs w:val="24"/>
                <w:color w:val="auto"/>
              </w:rPr>
            </w:pPr>
          </w:p>
        </w:tc>
      </w:tr>
      <w:tr>
        <w:trPr>
          <w:trHeight w:val="264"/>
        </w:trPr>
        <w:tc>
          <w:tcPr>
            <w:tcW w:w="5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2"/>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r>
      <w:tr>
        <w:trPr>
          <w:trHeight w:val="399"/>
        </w:trPr>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0" w:type="dxa"/>
            <w:vAlign w:val="bottom"/>
            <w:gridSpan w:val="2"/>
          </w:tcPr>
          <w:p>
            <w:pPr>
              <w:jc w:val="right"/>
              <w:ind w:right="880"/>
              <w:spacing w:after="0"/>
              <w:rPr>
                <w:sz w:val="20"/>
                <w:szCs w:val="20"/>
                <w:color w:val="auto"/>
              </w:rPr>
            </w:pPr>
            <w:r>
              <w:rPr>
                <w:rFonts w:ascii="Arial" w:cs="Arial" w:eastAsia="Arial" w:hAnsi="Arial"/>
                <w:sz w:val="18"/>
                <w:szCs w:val="18"/>
                <w:color w:val="auto"/>
              </w:rPr>
              <w:t>7</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WHARTON LENDER ASSOCIATES, LP, LANDLORD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KRYSTAL BIOTECH LLC, TENANT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2100 WHARTON STREET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Execution</w:t>
      </w:r>
    </w:p>
    <w:p>
      <w:pPr>
        <w:sectPr>
          <w:pgSz w:w="11900" w:h="16838" w:orient="portrait"/>
          <w:cols w:equalWidth="0" w:num="1">
            <w:col w:w="11420"/>
          </w:cols>
          <w:pgMar w:left="240" w:top="121" w:right="239" w:bottom="1440" w:gutter="0" w:footer="0" w:header="0"/>
        </w:sectPr>
      </w:pPr>
    </w:p>
    <w:bookmarkStart w:id="224" w:name="page225"/>
    <w:bookmarkEnd w:id="22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2100 WHARTON STREET LEASE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LEASE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Paragraph</w:t>
            </w:r>
          </w:p>
        </w:tc>
        <w:tc>
          <w:tcPr>
            <w:tcW w:w="1040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r>
      <w:tr>
        <w:trPr>
          <w:trHeight w:val="189"/>
        </w:trPr>
        <w:tc>
          <w:tcPr>
            <w:tcW w:w="34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1074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BASIC LEASE PROVISIONS</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LEASING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RENTAL ADJUSTMENTS FOR OPERATING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SERVICES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[Intentionally Omitted]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MORTGAGE BY LANDLORD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CERTAIN RIGHTS RESERVED TO LANDLORD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INSURANCE, INDEMNIFICATION, CASUALTY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SURRENDER OF PREMISES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ALTERATIONS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REPAIRS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RULES AND REGULATIONS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ASSIGNMENT AND SUBLETTING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HOLDING OVER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CONDITION OF PREMISES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ASSIGNMENT BY LANDLORD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QUIET POSSESSION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QUALIFICATIONS AS TO 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24.</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25.</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[Intentionally Omitted]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26.</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HAZARDOUS SUBSTANCES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27.</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CONFIDENTIALITY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28.</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OFAC AND ANTI-MONEY LAUNDERING COMPLIANCE CERTIFICATIONS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29.</w:t>
            </w:r>
          </w:p>
        </w:tc>
        <w:tc>
          <w:tcPr>
            <w:tcW w:w="10740" w:type="dxa"/>
            <w:vAlign w:val="bottom"/>
            <w:gridSpan w:val="2"/>
          </w:tcPr>
          <w:p>
            <w:pPr>
              <w:ind w:left="100"/>
              <w:spacing w:after="0"/>
              <w:rPr>
                <w:sz w:val="20"/>
                <w:szCs w:val="20"/>
                <w:color w:val="auto"/>
              </w:rPr>
            </w:pPr>
            <w:r>
              <w:rPr>
                <w:rFonts w:ascii="Arial" w:cs="Arial" w:eastAsia="Arial" w:hAnsi="Arial"/>
                <w:sz w:val="18"/>
                <w:szCs w:val="18"/>
                <w:color w:val="auto"/>
              </w:rPr>
              <w:t>VEHICLE PARKING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Premises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Rules and Regulations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Notice of Waiver of Rights</w:t>
      </w:r>
    </w:p>
    <w:p>
      <w:pPr>
        <w:spacing w:after="0" w:line="14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Execution</w:t>
      </w:r>
      <w:r>
        <w:rPr>
          <w:sz w:val="20"/>
          <w:szCs w:val="20"/>
          <w:color w:val="auto"/>
        </w:rPr>
        <w:tab/>
      </w:r>
      <w:r>
        <w:rPr>
          <w:rFonts w:ascii="Arial" w:cs="Arial" w:eastAsia="Arial" w:hAnsi="Arial"/>
          <w:sz w:val="18"/>
          <w:szCs w:val="18"/>
          <w:color w:val="auto"/>
        </w:rPr>
        <w:t>i</w:t>
      </w:r>
    </w:p>
    <w:p>
      <w:pPr>
        <w:sectPr>
          <w:pgSz w:w="11900" w:h="16838" w:orient="portrait"/>
          <w:cols w:equalWidth="0" w:num="1">
            <w:col w:w="11360"/>
          </w:cols>
          <w:pgMar w:left="240" w:top="274" w:right="299" w:bottom="1440" w:gutter="0" w:footer="0" w:header="0"/>
        </w:sectPr>
      </w:pPr>
    </w:p>
    <w:bookmarkStart w:id="225" w:name="page226"/>
    <w:bookmarkEnd w:id="225"/>
    <w:p>
      <w:pPr>
        <w:ind w:left="440" w:hanging="432"/>
        <w:spacing w:after="0"/>
        <w:tabs>
          <w:tab w:leader="none" w:pos="44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BASIC LEASE PROVISIONS.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4340" w:type="dxa"/>
            <w:vAlign w:val="bottom"/>
          </w:tcPr>
          <w:p>
            <w:pPr>
              <w:ind w:left="120"/>
              <w:spacing w:after="0"/>
              <w:rPr>
                <w:sz w:val="20"/>
                <w:szCs w:val="20"/>
                <w:color w:val="auto"/>
              </w:rPr>
            </w:pPr>
            <w:r>
              <w:rPr>
                <w:rFonts w:ascii="Arial" w:cs="Arial" w:eastAsia="Arial" w:hAnsi="Arial"/>
                <w:sz w:val="18"/>
                <w:szCs w:val="18"/>
                <w:color w:val="auto"/>
              </w:rPr>
              <w:t>Building Address:</w:t>
            </w: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2100 Wharton Street</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Pittsburgh, PA 15203</w:t>
            </w:r>
          </w:p>
        </w:tc>
      </w:tr>
      <w:tr>
        <w:trPr>
          <w:trHeight w:val="323"/>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4340" w:type="dxa"/>
            <w:vAlign w:val="bottom"/>
          </w:tcPr>
          <w:p>
            <w:pPr>
              <w:ind w:left="120"/>
              <w:spacing w:after="0"/>
              <w:rPr>
                <w:sz w:val="20"/>
                <w:szCs w:val="20"/>
                <w:color w:val="auto"/>
              </w:rPr>
            </w:pPr>
            <w:r>
              <w:rPr>
                <w:rFonts w:ascii="Arial" w:cs="Arial" w:eastAsia="Arial" w:hAnsi="Arial"/>
                <w:sz w:val="18"/>
                <w:szCs w:val="18"/>
                <w:color w:val="auto"/>
              </w:rPr>
              <w:t>Landlord and Address:</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Wharton Lender Associates, LP</w:t>
            </w:r>
          </w:p>
        </w:tc>
      </w:tr>
      <w:tr>
        <w:trPr>
          <w:trHeight w:val="216"/>
        </w:trPr>
        <w:tc>
          <w:tcPr>
            <w:tcW w:w="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707 Grant Street</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Pittsburgh, PA 15219</w:t>
            </w:r>
          </w:p>
        </w:tc>
      </w:tr>
      <w:tr>
        <w:trPr>
          <w:trHeight w:val="323"/>
        </w:trPr>
        <w:tc>
          <w:tcPr>
            <w:tcW w:w="3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440" w:type="dxa"/>
            <w:vAlign w:val="bottom"/>
            <w:gridSpan w:val="5"/>
          </w:tcPr>
          <w:p>
            <w:pPr>
              <w:ind w:left="1120"/>
              <w:spacing w:after="0"/>
              <w:rPr>
                <w:sz w:val="20"/>
                <w:szCs w:val="20"/>
                <w:color w:val="auto"/>
              </w:rPr>
            </w:pPr>
            <w:r>
              <w:rPr>
                <w:rFonts w:ascii="Arial" w:cs="Arial" w:eastAsia="Arial" w:hAnsi="Arial"/>
                <w:sz w:val="18"/>
                <w:szCs w:val="18"/>
                <w:color w:val="auto"/>
              </w:rPr>
              <w:t>cc: Wharton Lender Associates, LP</w:t>
            </w:r>
          </w:p>
        </w:tc>
      </w:tr>
      <w:tr>
        <w:trPr>
          <w:trHeight w:val="216"/>
        </w:trPr>
        <w:tc>
          <w:tcPr>
            <w:tcW w:w="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300 Lighting Way</w:t>
            </w:r>
          </w:p>
        </w:tc>
      </w:tr>
      <w:tr>
        <w:trPr>
          <w:trHeight w:val="216"/>
        </w:trPr>
        <w:tc>
          <w:tcPr>
            <w:tcW w:w="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Secaucus, NJ 07094</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Attention: Lease Administration</w:t>
            </w:r>
          </w:p>
        </w:tc>
      </w:tr>
      <w:tr>
        <w:trPr>
          <w:trHeight w:val="323"/>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4340" w:type="dxa"/>
            <w:vAlign w:val="bottom"/>
          </w:tcPr>
          <w:p>
            <w:pPr>
              <w:ind w:left="120"/>
              <w:spacing w:after="0"/>
              <w:rPr>
                <w:sz w:val="20"/>
                <w:szCs w:val="20"/>
                <w:color w:val="auto"/>
              </w:rPr>
            </w:pPr>
            <w:r>
              <w:rPr>
                <w:rFonts w:ascii="Arial" w:cs="Arial" w:eastAsia="Arial" w:hAnsi="Arial"/>
                <w:sz w:val="18"/>
                <w:szCs w:val="18"/>
                <w:color w:val="auto"/>
              </w:rPr>
              <w:t>Tenant and Current Address:</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Krystal Biotech LLC</w:t>
            </w:r>
          </w:p>
        </w:tc>
      </w:tr>
      <w:tr>
        <w:trPr>
          <w:trHeight w:val="216"/>
        </w:trPr>
        <w:tc>
          <w:tcPr>
            <w:tcW w:w="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350 Rhode Island Street, Suite # 240</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San Francisco, Ca 94103</w:t>
            </w:r>
          </w:p>
        </w:tc>
      </w:tr>
      <w:tr>
        <w:trPr>
          <w:trHeight w:val="323"/>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4340" w:type="dxa"/>
            <w:vAlign w:val="bottom"/>
          </w:tcPr>
          <w:p>
            <w:pPr>
              <w:ind w:left="120"/>
              <w:spacing w:after="0"/>
              <w:rPr>
                <w:sz w:val="20"/>
                <w:szCs w:val="20"/>
                <w:color w:val="auto"/>
              </w:rPr>
            </w:pPr>
            <w:r>
              <w:rPr>
                <w:rFonts w:ascii="Arial" w:cs="Arial" w:eastAsia="Arial" w:hAnsi="Arial"/>
                <w:sz w:val="18"/>
                <w:szCs w:val="18"/>
                <w:color w:val="auto"/>
              </w:rPr>
              <w:t>Premises:</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w w:val="90"/>
              </w:rPr>
              <w:t>Approximately 5,065 rentable square feet</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on the 7th Floor</w:t>
            </w:r>
          </w:p>
        </w:tc>
      </w:tr>
      <w:tr>
        <w:trPr>
          <w:trHeight w:val="297"/>
        </w:trPr>
        <w:tc>
          <w:tcPr>
            <w:tcW w:w="320" w:type="dxa"/>
            <w:vAlign w:val="bottom"/>
          </w:tcPr>
          <w:p>
            <w:pPr>
              <w:spacing w:after="0"/>
              <w:rPr>
                <w:sz w:val="20"/>
                <w:szCs w:val="20"/>
                <w:color w:val="auto"/>
              </w:rPr>
            </w:pPr>
            <w:r>
              <w:rPr>
                <w:rFonts w:ascii="Arial" w:cs="Arial" w:eastAsia="Arial" w:hAnsi="Arial"/>
                <w:sz w:val="18"/>
                <w:szCs w:val="18"/>
                <w:color w:val="auto"/>
              </w:rPr>
              <w:t>E.</w:t>
            </w:r>
          </w:p>
        </w:tc>
        <w:tc>
          <w:tcPr>
            <w:tcW w:w="4340" w:type="dxa"/>
            <w:vAlign w:val="bottom"/>
          </w:tcPr>
          <w:p>
            <w:pPr>
              <w:ind w:left="120"/>
              <w:spacing w:after="0"/>
              <w:rPr>
                <w:sz w:val="20"/>
                <w:szCs w:val="20"/>
                <w:color w:val="auto"/>
              </w:rPr>
            </w:pPr>
            <w:r>
              <w:rPr>
                <w:rFonts w:ascii="Arial" w:cs="Arial" w:eastAsia="Arial" w:hAnsi="Arial"/>
                <w:sz w:val="18"/>
                <w:szCs w:val="18"/>
                <w:color w:val="auto"/>
              </w:rPr>
              <w:t>Date of Lease:</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 xml:space="preserve">May </w:t>
            </w:r>
            <w:r>
              <w:rPr>
                <w:rFonts w:ascii="Arial" w:cs="Arial" w:eastAsia="Arial" w:hAnsi="Arial"/>
                <w:sz w:val="18"/>
                <w:szCs w:val="18"/>
                <w:b w:val="1"/>
                <w:bCs w:val="1"/>
                <w:color w:val="auto"/>
              </w:rPr>
              <w:t>26</w:t>
            </w:r>
            <w:r>
              <w:rPr>
                <w:rFonts w:ascii="Arial" w:cs="Arial" w:eastAsia="Arial" w:hAnsi="Arial"/>
                <w:sz w:val="18"/>
                <w:szCs w:val="18"/>
                <w:color w:val="auto"/>
              </w:rPr>
              <w:t>, 2016</w:t>
            </w:r>
          </w:p>
        </w:tc>
      </w:tr>
      <w:tr>
        <w:trPr>
          <w:trHeight w:val="20"/>
        </w:trPr>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45"/>
        </w:trPr>
        <w:tc>
          <w:tcPr>
            <w:tcW w:w="320" w:type="dxa"/>
            <w:vAlign w:val="bottom"/>
          </w:tcPr>
          <w:p>
            <w:pPr>
              <w:spacing w:after="0"/>
              <w:rPr>
                <w:sz w:val="20"/>
                <w:szCs w:val="20"/>
                <w:color w:val="auto"/>
              </w:rPr>
            </w:pPr>
            <w:r>
              <w:rPr>
                <w:rFonts w:ascii="Arial" w:cs="Arial" w:eastAsia="Arial" w:hAnsi="Arial"/>
                <w:sz w:val="18"/>
                <w:szCs w:val="18"/>
                <w:color w:val="auto"/>
              </w:rPr>
              <w:t>F.</w:t>
            </w:r>
          </w:p>
        </w:tc>
        <w:tc>
          <w:tcPr>
            <w:tcW w:w="4340" w:type="dxa"/>
            <w:vAlign w:val="bottom"/>
          </w:tcPr>
          <w:p>
            <w:pPr>
              <w:ind w:left="120"/>
              <w:spacing w:after="0"/>
              <w:rPr>
                <w:sz w:val="20"/>
                <w:szCs w:val="20"/>
                <w:color w:val="auto"/>
              </w:rPr>
            </w:pPr>
            <w:r>
              <w:rPr>
                <w:rFonts w:ascii="Arial" w:cs="Arial" w:eastAsia="Arial" w:hAnsi="Arial"/>
                <w:sz w:val="18"/>
                <w:szCs w:val="18"/>
                <w:color w:val="auto"/>
              </w:rPr>
              <w:t>Lease Term:</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One (1) year and five (5) months</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4340" w:type="dxa"/>
            <w:vAlign w:val="bottom"/>
          </w:tcPr>
          <w:p>
            <w:pPr>
              <w:ind w:left="120"/>
              <w:spacing w:after="0"/>
              <w:rPr>
                <w:sz w:val="20"/>
                <w:szCs w:val="20"/>
                <w:color w:val="auto"/>
              </w:rPr>
            </w:pPr>
            <w:r>
              <w:rPr>
                <w:rFonts w:ascii="Arial" w:cs="Arial" w:eastAsia="Arial" w:hAnsi="Arial"/>
                <w:sz w:val="18"/>
                <w:szCs w:val="18"/>
                <w:color w:val="auto"/>
              </w:rPr>
              <w:t>Anticipated Commencement Date of Term:</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June 1, 2016</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4340" w:type="dxa"/>
            <w:vAlign w:val="bottom"/>
          </w:tcPr>
          <w:p>
            <w:pPr>
              <w:ind w:left="120"/>
              <w:spacing w:after="0"/>
              <w:rPr>
                <w:sz w:val="20"/>
                <w:szCs w:val="20"/>
                <w:color w:val="auto"/>
              </w:rPr>
            </w:pPr>
            <w:r>
              <w:rPr>
                <w:rFonts w:ascii="Arial" w:cs="Arial" w:eastAsia="Arial" w:hAnsi="Arial"/>
                <w:sz w:val="18"/>
                <w:szCs w:val="18"/>
                <w:color w:val="auto"/>
              </w:rPr>
              <w:t>Anticipated Expiration of Date of Term</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October 31, 2017</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4340" w:type="dxa"/>
            <w:vAlign w:val="bottom"/>
          </w:tcPr>
          <w:p>
            <w:pPr>
              <w:ind w:left="120"/>
              <w:spacing w:after="0"/>
              <w:rPr>
                <w:sz w:val="20"/>
                <w:szCs w:val="20"/>
                <w:color w:val="auto"/>
              </w:rPr>
            </w:pPr>
            <w:r>
              <w:rPr>
                <w:rFonts w:ascii="Arial" w:cs="Arial" w:eastAsia="Arial" w:hAnsi="Arial"/>
                <w:sz w:val="18"/>
                <w:szCs w:val="18"/>
                <w:color w:val="auto"/>
              </w:rPr>
              <w:t>Fixed Rent:</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See Section 3 of Lease Agreement</w:t>
            </w:r>
          </w:p>
        </w:tc>
      </w:tr>
      <w:tr>
        <w:trPr>
          <w:trHeight w:val="20"/>
        </w:trPr>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r>
      <w:tr>
        <w:trPr>
          <w:trHeight w:val="345"/>
        </w:trPr>
        <w:tc>
          <w:tcPr>
            <w:tcW w:w="320" w:type="dxa"/>
            <w:vAlign w:val="bottom"/>
          </w:tcPr>
          <w:p>
            <w:pPr>
              <w:spacing w:after="0"/>
              <w:rPr>
                <w:sz w:val="20"/>
                <w:szCs w:val="20"/>
                <w:color w:val="auto"/>
              </w:rPr>
            </w:pPr>
            <w:r>
              <w:rPr>
                <w:rFonts w:ascii="Arial" w:cs="Arial" w:eastAsia="Arial" w:hAnsi="Arial"/>
                <w:sz w:val="18"/>
                <w:szCs w:val="18"/>
                <w:color w:val="auto"/>
              </w:rPr>
              <w:t>J.</w:t>
            </w:r>
          </w:p>
        </w:tc>
        <w:tc>
          <w:tcPr>
            <w:tcW w:w="4340" w:type="dxa"/>
            <w:vAlign w:val="bottom"/>
          </w:tcPr>
          <w:p>
            <w:pPr>
              <w:ind w:left="120"/>
              <w:spacing w:after="0"/>
              <w:rPr>
                <w:sz w:val="20"/>
                <w:szCs w:val="20"/>
                <w:color w:val="auto"/>
              </w:rPr>
            </w:pPr>
            <w:r>
              <w:rPr>
                <w:rFonts w:ascii="Arial" w:cs="Arial" w:eastAsia="Arial" w:hAnsi="Arial"/>
                <w:sz w:val="18"/>
                <w:szCs w:val="18"/>
                <w:color w:val="auto"/>
              </w:rPr>
              <w:t>Rentable Area of Premises:</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5,065 Square Feet</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K.</w:t>
            </w:r>
          </w:p>
        </w:tc>
        <w:tc>
          <w:tcPr>
            <w:tcW w:w="4340" w:type="dxa"/>
            <w:vAlign w:val="bottom"/>
          </w:tcPr>
          <w:p>
            <w:pPr>
              <w:ind w:left="120"/>
              <w:spacing w:after="0"/>
              <w:rPr>
                <w:sz w:val="20"/>
                <w:szCs w:val="20"/>
                <w:color w:val="auto"/>
              </w:rPr>
            </w:pPr>
            <w:r>
              <w:rPr>
                <w:rFonts w:ascii="Arial" w:cs="Arial" w:eastAsia="Arial" w:hAnsi="Arial"/>
                <w:sz w:val="18"/>
                <w:szCs w:val="18"/>
                <w:color w:val="auto"/>
              </w:rPr>
              <w:t>Rentable Area of Building:</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226,173 Square Feet</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L.</w:t>
            </w:r>
          </w:p>
        </w:tc>
        <w:tc>
          <w:tcPr>
            <w:tcW w:w="4340" w:type="dxa"/>
            <w:vAlign w:val="bottom"/>
          </w:tcPr>
          <w:p>
            <w:pPr>
              <w:ind w:left="120"/>
              <w:spacing w:after="0"/>
              <w:rPr>
                <w:sz w:val="20"/>
                <w:szCs w:val="20"/>
                <w:color w:val="auto"/>
              </w:rPr>
            </w:pPr>
            <w:r>
              <w:rPr>
                <w:rFonts w:ascii="Arial" w:cs="Arial" w:eastAsia="Arial" w:hAnsi="Arial"/>
                <w:sz w:val="18"/>
                <w:szCs w:val="18"/>
                <w:color w:val="auto"/>
              </w:rPr>
              <w:t>Tenant’s Percentage</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2.24 Percent</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M.</w:t>
            </w:r>
          </w:p>
        </w:tc>
        <w:tc>
          <w:tcPr>
            <w:tcW w:w="4340" w:type="dxa"/>
            <w:vAlign w:val="bottom"/>
          </w:tcPr>
          <w:p>
            <w:pPr>
              <w:ind w:left="120"/>
              <w:spacing w:after="0"/>
              <w:rPr>
                <w:sz w:val="20"/>
                <w:szCs w:val="20"/>
                <w:color w:val="auto"/>
              </w:rPr>
            </w:pPr>
            <w:r>
              <w:rPr>
                <w:rFonts w:ascii="Arial" w:cs="Arial" w:eastAsia="Arial" w:hAnsi="Arial"/>
                <w:sz w:val="18"/>
                <w:szCs w:val="18"/>
                <w:color w:val="auto"/>
              </w:rPr>
              <w:t>Base Year:</w:t>
            </w:r>
          </w:p>
        </w:tc>
        <w:tc>
          <w:tcPr>
            <w:tcW w:w="1820" w:type="dxa"/>
            <w:vAlign w:val="bottom"/>
            <w:gridSpan w:val="3"/>
          </w:tcPr>
          <w:p>
            <w:pPr>
              <w:ind w:left="1440"/>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N.</w:t>
            </w:r>
          </w:p>
        </w:tc>
        <w:tc>
          <w:tcPr>
            <w:tcW w:w="4340" w:type="dxa"/>
            <w:vAlign w:val="bottom"/>
          </w:tcPr>
          <w:p>
            <w:pPr>
              <w:ind w:left="120"/>
              <w:spacing w:after="0"/>
              <w:rPr>
                <w:sz w:val="20"/>
                <w:szCs w:val="20"/>
                <w:color w:val="auto"/>
              </w:rPr>
            </w:pPr>
            <w:r>
              <w:rPr>
                <w:rFonts w:ascii="Arial" w:cs="Arial" w:eastAsia="Arial" w:hAnsi="Arial"/>
                <w:sz w:val="18"/>
                <w:szCs w:val="18"/>
                <w:color w:val="auto"/>
              </w:rPr>
              <w:t>Security Deposit:</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None</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O.</w:t>
            </w:r>
          </w:p>
        </w:tc>
        <w:tc>
          <w:tcPr>
            <w:tcW w:w="4340" w:type="dxa"/>
            <w:vAlign w:val="bottom"/>
          </w:tcPr>
          <w:p>
            <w:pPr>
              <w:ind w:left="120"/>
              <w:spacing w:after="0"/>
              <w:rPr>
                <w:sz w:val="20"/>
                <w:szCs w:val="20"/>
                <w:color w:val="auto"/>
              </w:rPr>
            </w:pPr>
            <w:r>
              <w:rPr>
                <w:rFonts w:ascii="Arial" w:cs="Arial" w:eastAsia="Arial" w:hAnsi="Arial"/>
                <w:sz w:val="18"/>
                <w:szCs w:val="18"/>
                <w:color w:val="auto"/>
              </w:rPr>
              <w:t>Floor of Premises:</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7th Floor</w:t>
            </w:r>
          </w:p>
        </w:tc>
      </w:tr>
      <w:tr>
        <w:trPr>
          <w:trHeight w:val="310"/>
        </w:trPr>
        <w:tc>
          <w:tcPr>
            <w:tcW w:w="320" w:type="dxa"/>
            <w:vAlign w:val="bottom"/>
          </w:tcPr>
          <w:p>
            <w:pPr>
              <w:spacing w:after="0"/>
              <w:rPr>
                <w:sz w:val="20"/>
                <w:szCs w:val="20"/>
                <w:color w:val="auto"/>
              </w:rPr>
            </w:pPr>
            <w:r>
              <w:rPr>
                <w:rFonts w:ascii="Arial" w:cs="Arial" w:eastAsia="Arial" w:hAnsi="Arial"/>
                <w:sz w:val="18"/>
                <w:szCs w:val="18"/>
                <w:color w:val="auto"/>
              </w:rPr>
              <w:t>P.</w:t>
            </w:r>
          </w:p>
        </w:tc>
        <w:tc>
          <w:tcPr>
            <w:tcW w:w="4340" w:type="dxa"/>
            <w:vAlign w:val="bottom"/>
          </w:tcPr>
          <w:p>
            <w:pPr>
              <w:ind w:left="120"/>
              <w:spacing w:after="0"/>
              <w:rPr>
                <w:sz w:val="20"/>
                <w:szCs w:val="20"/>
                <w:color w:val="auto"/>
              </w:rPr>
            </w:pPr>
            <w:r>
              <w:rPr>
                <w:rFonts w:ascii="Arial" w:cs="Arial" w:eastAsia="Arial" w:hAnsi="Arial"/>
                <w:sz w:val="18"/>
                <w:szCs w:val="18"/>
                <w:color w:val="auto"/>
              </w:rPr>
              <w:t>Broker:</w:t>
            </w:r>
          </w:p>
        </w:tc>
        <w:tc>
          <w:tcPr>
            <w:tcW w:w="1440" w:type="dxa"/>
            <w:vAlign w:val="bottom"/>
          </w:tcPr>
          <w:p>
            <w:pPr>
              <w:spacing w:after="0"/>
              <w:rPr>
                <w:sz w:val="24"/>
                <w:szCs w:val="24"/>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CBRE, Inc.</w:t>
            </w:r>
          </w:p>
        </w:tc>
      </w:tr>
      <w:tr>
        <w:trPr>
          <w:trHeight w:val="216"/>
        </w:trPr>
        <w:tc>
          <w:tcPr>
            <w:tcW w:w="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600 Grant Street, Suite 4800</w:t>
            </w:r>
          </w:p>
        </w:tc>
      </w:tr>
      <w:tr>
        <w:trPr>
          <w:trHeight w:val="230"/>
        </w:trPr>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0" w:type="dxa"/>
            <w:vAlign w:val="bottom"/>
            <w:gridSpan w:val="4"/>
          </w:tcPr>
          <w:p>
            <w:pPr>
              <w:spacing w:after="0"/>
              <w:rPr>
                <w:sz w:val="20"/>
                <w:szCs w:val="20"/>
                <w:color w:val="auto"/>
              </w:rPr>
            </w:pPr>
            <w:r>
              <w:rPr>
                <w:rFonts w:ascii="Arial" w:cs="Arial" w:eastAsia="Arial" w:hAnsi="Arial"/>
                <w:sz w:val="18"/>
                <w:szCs w:val="18"/>
                <w:color w:val="auto"/>
              </w:rPr>
              <w:t>Pittsburgh, PA 15219</w:t>
            </w:r>
          </w:p>
        </w:tc>
      </w:tr>
      <w:tr>
        <w:trPr>
          <w:trHeight w:val="378"/>
        </w:trPr>
        <w:tc>
          <w:tcPr>
            <w:tcW w:w="4660" w:type="dxa"/>
            <w:vAlign w:val="bottom"/>
            <w:gridSpan w:val="2"/>
          </w:tcPr>
          <w:p>
            <w:pPr>
              <w:spacing w:after="0"/>
              <w:rPr>
                <w:sz w:val="20"/>
                <w:szCs w:val="20"/>
                <w:color w:val="auto"/>
              </w:rPr>
            </w:pPr>
            <w:r>
              <w:rPr>
                <w:rFonts w:ascii="Arial" w:cs="Arial" w:eastAsia="Arial" w:hAnsi="Arial"/>
                <w:sz w:val="18"/>
                <w:szCs w:val="18"/>
                <w:color w:val="auto"/>
              </w:rPr>
              <w:t>Execution</w:t>
            </w:r>
          </w:p>
        </w:tc>
        <w:tc>
          <w:tcPr>
            <w:tcW w:w="1440" w:type="dxa"/>
            <w:vAlign w:val="bottom"/>
          </w:tcPr>
          <w:p>
            <w:pPr>
              <w:ind w:left="1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0219"/>
          </w:cols>
          <w:pgMar w:left="240" w:top="265" w:right="1440"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LEASING AGREEMENT.</w:t>
      </w:r>
    </w:p>
    <w:p>
      <w:pPr>
        <w:spacing w:after="0" w:line="121"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 xml:space="preserve">Wharton Lender Associates, LP, a Pennsylvania limited partnership, as landlord (“Landlord”), hereby leases to Tenant and Tenant hereby hires and takes from Landlord the premises (the “Premises”) consisting of 5,065 rentable square feet as shown on the plan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which Premises are in the building (the “Building”) located at 2100 Wharton Street, Pittsburgh, Pennsylvania. This Lease shall be for a term (the “Term”) of one</w:t>
      </w:r>
    </w:p>
    <w:p>
      <w:pPr>
        <w:ind w:right="40" w:firstLine="8"/>
        <w:spacing w:after="0" w:line="277" w:lineRule="auto"/>
        <w:tabs>
          <w:tab w:leader="none" w:pos="25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year and five (5) months. Notwithstanding anything to the contrary contained in Paragraph 1.G. or elsewhere in this Lease, the Term of this Lease and Tenant’s obligation to pay rent and additional rent hereunder shall commence on the date of June 1, 2016. After the commencement of the Term, Tenant shall, upon Landlord’s request, promptly execute an agreement setting forth the actual Commencement Date and Expiration Date.</w:t>
      </w:r>
    </w:p>
    <w:p>
      <w:pPr>
        <w:spacing w:after="0" w:line="277" w:lineRule="exact"/>
        <w:rPr>
          <w:sz w:val="20"/>
          <w:szCs w:val="20"/>
          <w:color w:val="auto"/>
        </w:rPr>
      </w:pPr>
    </w:p>
    <w:p>
      <w:pPr>
        <w:ind w:left="180" w:hanging="172"/>
        <w:spacing w:after="0"/>
        <w:tabs>
          <w:tab w:leader="none" w:pos="1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21" w:lineRule="exact"/>
        <w:rPr>
          <w:rFonts w:ascii="Arial" w:cs="Arial" w:eastAsia="Arial" w:hAnsi="Arial"/>
          <w:sz w:val="18"/>
          <w:szCs w:val="18"/>
          <w:b w:val="1"/>
          <w:bCs w:val="1"/>
          <w:color w:val="auto"/>
        </w:rPr>
      </w:pPr>
    </w:p>
    <w:p>
      <w:pPr>
        <w:ind w:right="100" w:firstLine="45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Fixed Rent. Tenant shall pay to Landlord at the management office of the Building or to such other person or such other place as directed from time to time by notice to Tenant from Landlord, without demand, notice, offset or deduction, fixed rent (“Fixed Rent”) in the amount of One Hundred Thirty-six Thousand and 00/100 Dollars ($136,000.00) for the initial Term of the Lease:</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Fixed Rent in the amount of One Hundred Thirty-six Thousand and 00/100 Dollars ($136,000.00) shall be payable to Landlord upon Tenant’s execution of this Lease. Fixed Rent shall be prorated for partial months within the Term. In the event the Commencement Date occurs on a day other than the first day of the calendar month, the initial Lease Period that Tenant commences paying Fixed Rent shall be extended by the amount of days necessary to cause the next Lease Period to commence on the first day of the calendar month. All charges, costs and sums including late charges and interest required to be paid by Tenant to Landlord under this Lease in addition to Fixed Rent are additional rent, and Fixed Rent and additional rent shall hereinafter be collectively called “Rent”. Tenant’s covenant to pay Rent shall be independent of every other covenant in this Lease.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 Late Charge. If Tenant shall fail to pay Rent within ten (10) days after due Tenant shall pay a late charge equal to ten cents ($.10) for every unpaid dollar thereof. In addition to the Late Charge, all due and unpaid Rent shall accrue interest at a rate of 18% until such Rent is paid. Nothing contained in this Paragraph 3 is intended to grant Tenant any extension of time in respect of the due dates for any payments under this Lease, nor shall the same be construed to be a limitation of any other rights or remedies of Landlord under this Lease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RENTAL ADJUSTMENTS FOR OPERATING EXPENSES.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additional rent, Tenant shall pay to Landlord each year during the Term hereof Tenant’s pro rata share of any increases in (i) the Operating Expenses (as hereinafter defined) over Operating Expenses for the Base Year, and (ii) Tenant’s pro rata share of any increases in Taxes (as hereinafter defined) over Taxes for the Base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Definitions: The following items shall have the following meanings:</w:t>
      </w:r>
    </w:p>
    <w:p>
      <w:pPr>
        <w:spacing w:after="0" w:line="117" w:lineRule="exact"/>
        <w:rPr>
          <w:sz w:val="20"/>
          <w:szCs w:val="20"/>
          <w:color w:val="auto"/>
        </w:rPr>
      </w:pPr>
    </w:p>
    <w:p>
      <w:pPr>
        <w:jc w:val="both"/>
        <w:ind w:right="60" w:firstLine="921"/>
        <w:spacing w:after="0" w:line="264" w:lineRule="auto"/>
        <w:tabs>
          <w:tab w:leader="none" w:pos="11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“Lease Year” means each calendar year during the Term except that (a) the first Lease Year is the period from the Commencement Date to the next December 31st, both inclusive, and (b) the last Lease Year is the period from January 1 of the year in which the Term expires to the date upon which the Term expires, both inclusive.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0" w:right="239" w:bottom="1440" w:gutter="0" w:footer="0" w:header="0"/>
        </w:sectPr>
      </w:pPr>
    </w:p>
    <w:bookmarkStart w:id="227" w:name="page228"/>
    <w:bookmarkEnd w:id="227"/>
    <w:p>
      <w:pPr>
        <w:ind w:right="380" w:firstLine="921"/>
        <w:spacing w:after="0" w:line="277" w:lineRule="auto"/>
        <w:tabs>
          <w:tab w:leader="none" w:pos="1178"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“Tenant’s Share” means 2.24%, which is calculated by dividing Tenant’s rentable area of 5,065 square feet by the 226,173 square feet of rentable area in the Building.</w:t>
      </w:r>
    </w:p>
    <w:p>
      <w:pPr>
        <w:spacing w:after="0" w:line="170" w:lineRule="exact"/>
        <w:rPr>
          <w:rFonts w:ascii="Arial" w:cs="Arial" w:eastAsia="Arial" w:hAnsi="Arial"/>
          <w:sz w:val="18"/>
          <w:szCs w:val="18"/>
          <w:color w:val="auto"/>
        </w:rPr>
      </w:pPr>
    </w:p>
    <w:p>
      <w:pPr>
        <w:ind w:right="20" w:firstLine="921"/>
        <w:spacing w:after="0" w:line="293" w:lineRule="auto"/>
        <w:tabs>
          <w:tab w:leader="none" w:pos="122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“Operating Expenses” means, for each Lease Year, (a) all costs, expenses, and disbursements of every kind, nature or description (including, but not limited to, a fee for management of the Building) which Landlord shall pay or become obligated to pay in connection with the ownership, management, operation, maintenance, repair and replacement of the Building and of the personal property, fixtures, machinery, equipment, systems and apparatus located therein or used in connection therewith, including those reasonably allocable to such Lease Year or period as determined by Landlord in the reasonable exercise of its discretion; and (b) those costs, expenses and disbursements which Landlord reasonably determines it would have incurred had the Building been 95% occupied at all times during such Lease Year; provided, however, that “Operating Expenses” shall not include the following:</w:t>
      </w:r>
    </w:p>
    <w:p>
      <w:pPr>
        <w:spacing w:after="0" w:line="56" w:lineRule="exact"/>
        <w:rPr>
          <w:rFonts w:ascii="Arial" w:cs="Arial" w:eastAsia="Arial" w:hAnsi="Arial"/>
          <w:sz w:val="16"/>
          <w:szCs w:val="16"/>
          <w:color w:val="auto"/>
        </w:rPr>
      </w:pPr>
    </w:p>
    <w:p>
      <w:pPr>
        <w:ind w:left="1740" w:hanging="248"/>
        <w:spacing w:after="0"/>
        <w:tabs>
          <w:tab w:leader="none" w:pos="1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Costs of tenant improvement renovations pursuant to any “Work Letter”;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Leasing commissions and fees;</w:t>
      </w:r>
    </w:p>
    <w:p>
      <w:pPr>
        <w:spacing w:after="0" w:line="225" w:lineRule="exact"/>
        <w:rPr>
          <w:rFonts w:ascii="Arial" w:cs="Arial" w:eastAsia="Arial" w:hAnsi="Arial"/>
          <w:sz w:val="18"/>
          <w:szCs w:val="18"/>
          <w:color w:val="auto"/>
        </w:rPr>
      </w:pPr>
    </w:p>
    <w:p>
      <w:pPr>
        <w:ind w:right="120" w:firstLine="1492"/>
        <w:spacing w:after="0" w:line="257" w:lineRule="auto"/>
        <w:tabs>
          <w:tab w:leader="none" w:pos="172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Costs of capital improvements to the Building, except that Operating Expenses shall include (i) the cost of any capital improvement, amortized with interest over the useful life of such capital improvement, which reduces any component cost included within Operating Expenses, (ii) if Landlord shall lease any capital improvement described in clause (i), above, all rental and other payments made under such lease, and (iii) the cost of any capital improvements made to keep the Building in compliance with applicable governmental laws, ordinances, rules and regulations (including, but not limited to The Americans with Disabilities Act);</w:t>
      </w:r>
    </w:p>
    <w:p>
      <w:pPr>
        <w:spacing w:after="0" w:line="188" w:lineRule="exact"/>
        <w:rPr>
          <w:rFonts w:ascii="Arial" w:cs="Arial" w:eastAsia="Arial" w:hAnsi="Arial"/>
          <w:sz w:val="18"/>
          <w:szCs w:val="18"/>
          <w:color w:val="auto"/>
        </w:rPr>
      </w:pPr>
    </w:p>
    <w:p>
      <w:pPr>
        <w:ind w:right="500" w:firstLine="1492"/>
        <w:spacing w:after="0" w:line="277" w:lineRule="auto"/>
        <w:tabs>
          <w:tab w:leader="none" w:pos="173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Depreciation, interest and principal payments on mortgages and other indebtedness related to the Building and on any personal property used in connection therewith.</w:t>
      </w:r>
    </w:p>
    <w:p>
      <w:pPr>
        <w:spacing w:after="0" w:line="170" w:lineRule="exact"/>
        <w:rPr>
          <w:rFonts w:ascii="Arial" w:cs="Arial" w:eastAsia="Arial" w:hAnsi="Arial"/>
          <w:sz w:val="18"/>
          <w:szCs w:val="18"/>
          <w:color w:val="auto"/>
        </w:rPr>
      </w:pPr>
    </w:p>
    <w:p>
      <w:pPr>
        <w:ind w:firstLine="921"/>
        <w:spacing w:after="0" w:line="286" w:lineRule="auto"/>
        <w:tabs>
          <w:tab w:leader="none" w:pos="121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“Taxes” means, for each Lease Year, (a) the face amount of all federal, state and local governmental taxes, assessments and charges (including transit or transit district taxes or assessments) of any kind or nature, whether general, special, ordinary or extraordinary, which Landlord shall pay or shall become obligated to pay because of or in connection with ownership, leasing, management, control or operation of the Building or of the personal property, fixtures, machinery, equipment, systems and apparatus located therein or used in connection therewith, including, without limitation, all ad valorem taxes and the Pittsburgh Business Privilege Tax; (b) any tax or excise levied, confirmed, assessed or imposed in lieu of those taxes described in clause (a), above; (c) any water charges and/or sewer rents which may be assessed, levied, confirmed or imposed in respect of, or which may become a lien upon, the Building or any portion thereof; and (d) all fees, costs and expenses incurred by Landlord in negotiating, contesting or appealing any of the items described in clauses (a) through (c), above. The amount included in Taxes for any Lease Year or other annual period shall be without regard to when such tax is payable, except that if any special assessment payable in installments is levied against the Building or any portion thereof, Taxes for any Lease Year or annual period shall include only the installments of such assessments and any interest thereon payable in such year or period (all without regard to any right to pay or payment of any such special assessment in a lump sum or single payment). In determining the amount of Taxes for any Lease Year, there shall be deducted from the amount of such Taxes any refund of Taxes received by Landlord which are applicable to such Lease Year, but only to the extent such refund relates to Taxes for a period within the Term (and in no event will Taxes be decreased below the amount of Taxes for the Base Year). Taxes shall not include any federal or state franchise, capital stock, inheritance, income or estate taxes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274" w:right="279" w:bottom="1440" w:gutter="0" w:footer="0" w:header="0"/>
        </w:sectPr>
      </w:pPr>
    </w:p>
    <w:bookmarkStart w:id="228" w:name="page229"/>
    <w:bookmarkEnd w:id="228"/>
    <w:p>
      <w:pPr>
        <w:ind w:left="1180" w:hanging="259"/>
        <w:spacing w:after="0"/>
        <w:tabs>
          <w:tab w:leader="none" w:pos="1180" w:val="left"/>
        </w:tabs>
        <w:numPr>
          <w:ilvl w:val="2"/>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Year” means the calendar year 2016.</w:t>
      </w:r>
    </w:p>
    <w:p>
      <w:pPr>
        <w:spacing w:after="0" w:line="225" w:lineRule="exact"/>
        <w:rPr>
          <w:rFonts w:ascii="Arial" w:cs="Arial" w:eastAsia="Arial" w:hAnsi="Arial"/>
          <w:sz w:val="18"/>
          <w:szCs w:val="18"/>
          <w:color w:val="auto"/>
        </w:rPr>
      </w:pPr>
    </w:p>
    <w:p>
      <w:pPr>
        <w:ind w:firstLine="464"/>
        <w:spacing w:after="0" w:line="257" w:lineRule="auto"/>
        <w:tabs>
          <w:tab w:leader="none" w:pos="66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Expense Adjustment. Tenant shall pay as additional rent for each Lease Year an amount (the “Expense Adjustment Amount”) equal to Tenant’s Share of the increase in Operating Expenses for such Lease Year over the Base Year, and if the Term shall terminate on a date other than December 31, the Expense Adjustment Amount for the last Lease Year of the Term shall be an amount equal to Tenant’s Share of increased Operating Expenses for the full calendar year in which the Term ends multiplied by a fraction, the numerator of which shall be the number of months and partial months during such calendar year which coincide with the Term, and the denominator of which shall be twelve.</w:t>
      </w:r>
    </w:p>
    <w:p>
      <w:pPr>
        <w:spacing w:after="0" w:line="188" w:lineRule="exact"/>
        <w:rPr>
          <w:rFonts w:ascii="Arial" w:cs="Arial" w:eastAsia="Arial" w:hAnsi="Arial"/>
          <w:sz w:val="18"/>
          <w:szCs w:val="18"/>
          <w:color w:val="auto"/>
        </w:rPr>
      </w:pPr>
    </w:p>
    <w:p>
      <w:pPr>
        <w:ind w:right="60" w:firstLine="464"/>
        <w:spacing w:after="0" w:line="257" w:lineRule="auto"/>
        <w:tabs>
          <w:tab w:leader="none" w:pos="66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Tax Adjustment. Tenant shall pay as additional rent for each Lease Year an amount (the “ Tax Adjustment Amount”) equal to Tenant’s Share of the increase in Taxes for such Lease Year over the Base Year, and if the Term shall terminate on a date other than December 31, the Tax Adjustment Amount for the last Lease Year of the Term shall be an amount equal to Tenant’s Share of increased Taxes for the full calendar year in which the Term ends multiplied by a fraction, the numerator of which shall be the number of months and partial months during such calendar year which coincide with the Term, and the denominator of which shall be twelve.</w:t>
      </w:r>
    </w:p>
    <w:p>
      <w:pPr>
        <w:spacing w:after="0" w:line="188" w:lineRule="exact"/>
        <w:rPr>
          <w:rFonts w:ascii="Arial" w:cs="Arial" w:eastAsia="Arial" w:hAnsi="Arial"/>
          <w:sz w:val="18"/>
          <w:szCs w:val="18"/>
          <w:color w:val="auto"/>
        </w:rPr>
      </w:pPr>
    </w:p>
    <w:p>
      <w:pPr>
        <w:ind w:right="60" w:firstLine="464"/>
        <w:spacing w:after="0" w:line="255" w:lineRule="auto"/>
        <w:tabs>
          <w:tab w:leader="none" w:pos="67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Prior to the commencement of each Lease Year following the initial Lease Year, Landlord shall notify Tenant of Landlord’s estimate of the Expense Adjustment Amount and the Tax Adjustment Amount for such Lease Year and Tenant shall pay, as Additional Rent, such amounts in equal monthly installments on the first day of each calendar month during such Lease Year. Landlord may revise its estimate of the Expense Adjustment Amount or Tax Adjustment Amount for such Lease Year as necessary to cause the total monthly payments during such Lease Year to equal Landlord’s then current estimate of the Expense Adjustment Amount or Tax Adjustment Amount for such Lease Year, and Tenant shall pay such revised monthly payment amount on the first day of each calendar month thereafter during such Lease Year.</w:t>
      </w:r>
    </w:p>
    <w:p>
      <w:pPr>
        <w:spacing w:after="0" w:line="193" w:lineRule="exact"/>
        <w:rPr>
          <w:rFonts w:ascii="Arial" w:cs="Arial" w:eastAsia="Arial" w:hAnsi="Arial"/>
          <w:sz w:val="18"/>
          <w:szCs w:val="18"/>
          <w:color w:val="auto"/>
        </w:rPr>
      </w:pPr>
    </w:p>
    <w:p>
      <w:pPr>
        <w:ind w:right="120" w:firstLine="464"/>
        <w:spacing w:after="0" w:line="297" w:lineRule="auto"/>
        <w:tabs>
          <w:tab w:leader="none" w:pos="656"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Following the close of each Lease Year, Landlord shall furnish to Tenant a statement setting forth the actual Expense Adjustment Amount and the Tax Adjustment Amount for such Lease Year and, within thirty (30) days after receipt of such statement, Tenant shall pay the excess owed, if any, of such actual Expense Adjustment Amount and the actual Tax Adjustment Amount for such Lease Year. If the total estimated monthly payments paid by Tenant for any Lease Year exceed the actual Expense Adjustment Amount or Tax Adjustment Amount for such Lease Year, such excess shall be credited against the payments of additional rent due or next becoming due hereunder or refunded to Tenant if such overpayment relates to the last year of the Lease.</w:t>
      </w:r>
    </w:p>
    <w:p>
      <w:pPr>
        <w:spacing w:after="0" w:line="262" w:lineRule="exact"/>
        <w:rPr>
          <w:rFonts w:ascii="Arial" w:cs="Arial" w:eastAsia="Arial" w:hAnsi="Arial"/>
          <w:sz w:val="16"/>
          <w:szCs w:val="16"/>
          <w:color w:val="auto"/>
        </w:rPr>
      </w:pPr>
    </w:p>
    <w:p>
      <w:pPr>
        <w:ind w:left="180" w:hanging="172"/>
        <w:spacing w:after="0"/>
        <w:tabs>
          <w:tab w:leader="none" w:pos="1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121" w:lineRule="exact"/>
        <w:rPr>
          <w:rFonts w:ascii="Arial" w:cs="Arial" w:eastAsia="Arial" w:hAnsi="Arial"/>
          <w:sz w:val="18"/>
          <w:szCs w:val="18"/>
          <w:b w:val="1"/>
          <w:bCs w:val="1"/>
          <w:color w:val="auto"/>
        </w:rPr>
      </w:pPr>
    </w:p>
    <w:p>
      <w:pPr>
        <w:ind w:left="680" w:hanging="216"/>
        <w:spacing w:after="0"/>
        <w:tabs>
          <w:tab w:leader="none" w:pos="6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Landlord shall provide the following services:</w:t>
      </w:r>
    </w:p>
    <w:p>
      <w:pPr>
        <w:spacing w:after="0" w:line="117" w:lineRule="exact"/>
        <w:rPr>
          <w:sz w:val="20"/>
          <w:szCs w:val="20"/>
          <w:color w:val="auto"/>
        </w:rPr>
      </w:pPr>
    </w:p>
    <w:p>
      <w:pPr>
        <w:ind w:right="260" w:firstLine="921"/>
        <w:spacing w:after="0" w:line="258" w:lineRule="auto"/>
        <w:tabs>
          <w:tab w:leader="none" w:pos="11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Customary janitor and cleaning service in the Premises, Saturdays, Sundays and holidays excepted. Holidays shall mean New Year’s Day, President’s Day, Memorial Day, July 4</w:t>
      </w:r>
      <w:r>
        <w:rPr>
          <w:rFonts w:ascii="Arial" w:cs="Arial" w:eastAsia="Arial" w:hAnsi="Arial"/>
          <w:sz w:val="15"/>
          <w:szCs w:val="15"/>
          <w:color w:val="auto"/>
        </w:rPr>
        <w:t>th</w:t>
      </w:r>
      <w:r>
        <w:rPr>
          <w:rFonts w:ascii="Arial" w:cs="Arial" w:eastAsia="Arial" w:hAnsi="Arial"/>
          <w:sz w:val="18"/>
          <w:szCs w:val="18"/>
          <w:color w:val="auto"/>
        </w:rPr>
        <w:t>, Labor Day, Veteran’s Day, Thanksgiving Day, the day after Thanksgiving</w:t>
      </w:r>
    </w:p>
    <w:p>
      <w:pPr>
        <w:spacing w:after="0" w:line="1" w:lineRule="exact"/>
        <w:rPr>
          <w:rFonts w:ascii="Arial" w:cs="Arial" w:eastAsia="Arial" w:hAnsi="Arial"/>
          <w:sz w:val="18"/>
          <w:szCs w:val="18"/>
          <w:color w:val="auto"/>
        </w:rPr>
      </w:pPr>
    </w:p>
    <w:p>
      <w:pPr>
        <w:ind w:right="320"/>
        <w:spacing w:after="0" w:line="261" w:lineRule="auto"/>
        <w:rPr>
          <w:rFonts w:ascii="Arial" w:cs="Arial" w:eastAsia="Arial" w:hAnsi="Arial"/>
          <w:sz w:val="18"/>
          <w:szCs w:val="18"/>
          <w:color w:val="auto"/>
        </w:rPr>
      </w:pPr>
      <w:r>
        <w:rPr>
          <w:rFonts w:ascii="Arial" w:cs="Arial" w:eastAsia="Arial" w:hAnsi="Arial"/>
          <w:sz w:val="18"/>
          <w:szCs w:val="18"/>
          <w:color w:val="auto"/>
        </w:rPr>
        <w:t>Day, Christmas Day and any other holidays as observed by other first-class office buildings in Pittsburgh, Pennsylvania, or as agreed to with the Building employees.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40" w:top="274" w:right="279" w:bottom="1440" w:gutter="0" w:footer="0" w:header="0"/>
        </w:sectPr>
      </w:pPr>
    </w:p>
    <w:bookmarkStart w:id="229" w:name="page230"/>
    <w:bookmarkEnd w:id="229"/>
    <w:p>
      <w:pPr>
        <w:ind w:firstLine="921"/>
        <w:spacing w:after="0" w:line="291" w:lineRule="auto"/>
        <w:tabs>
          <w:tab w:leader="none" w:pos="1168" w:val="left"/>
        </w:tabs>
        <w:numPr>
          <w:ilvl w:val="1"/>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Heat and air-conditioning in the Premises in accordance with applicable laws during Normal Business Hours, Sundays and holidays excepted, to the extent necessary for comfortable occupancy of the Premises under normal business operations in the absence of the use of machines or equipment or excessive personnel which affect the temperature otherwise maintained in the Premises. The term “Normal Business Hours” shall mean 8:00 a.m. to 6:00 p.m., Monday through Friday and 8:00 a.m. to 1:00 p.m. Saturday. Tenant will be charged for all heating and air-conditioning requested and furnished before or after Normal Business Hours at rates from time to time established by Landlord. Wherever heat generating machines or equipment are used in the Premises which affect the temperature otherwise maintained by the air-conditioning system, Landlord may, at its option, provide and install supplementary air-conditioning units in the Premises and the cost of providing, installing, operating and maintaining the same shall be paid by Tenant as Additional Rent.</w:t>
      </w:r>
    </w:p>
    <w:p>
      <w:pPr>
        <w:spacing w:after="0" w:line="167" w:lineRule="exact"/>
        <w:rPr>
          <w:rFonts w:ascii="Arial" w:cs="Arial" w:eastAsia="Arial" w:hAnsi="Arial"/>
          <w:sz w:val="16"/>
          <w:szCs w:val="16"/>
          <w:color w:val="auto"/>
        </w:rPr>
      </w:pPr>
    </w:p>
    <w:p>
      <w:pPr>
        <w:ind w:left="1180" w:hanging="259"/>
        <w:spacing w:after="0"/>
        <w:tabs>
          <w:tab w:leader="none" w:pos="11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Water from City mains for drinking, lavatory and toilet purposes as customary for office use.</w:t>
      </w:r>
    </w:p>
    <w:p>
      <w:pPr>
        <w:spacing w:after="0" w:line="225" w:lineRule="exact"/>
        <w:rPr>
          <w:rFonts w:ascii="Arial" w:cs="Arial" w:eastAsia="Arial" w:hAnsi="Arial"/>
          <w:sz w:val="18"/>
          <w:szCs w:val="18"/>
          <w:color w:val="auto"/>
        </w:rPr>
      </w:pPr>
    </w:p>
    <w:p>
      <w:pPr>
        <w:jc w:val="both"/>
        <w:ind w:right="180" w:firstLine="921"/>
        <w:spacing w:after="0" w:line="264" w:lineRule="auto"/>
        <w:tabs>
          <w:tab w:leader="none" w:pos="11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Passenger elevator service in common with other tenants of the Building and freight elevator service, subject to scheduling by Landlord. In the event that Tenant desires to utilize the freight elevators other than during Normal Business Hours, Tenant will pay Landlord for such usage at rates from time to time established by Landlord.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Window washing of all exterior windows.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following subparagraphs shall govern the furnishing of electrical service for the Premises.</w:t>
      </w:r>
    </w:p>
    <w:p>
      <w:pPr>
        <w:spacing w:after="0" w:line="225" w:lineRule="exact"/>
        <w:rPr>
          <w:rFonts w:ascii="Arial" w:cs="Arial" w:eastAsia="Arial" w:hAnsi="Arial"/>
          <w:sz w:val="18"/>
          <w:szCs w:val="18"/>
          <w:color w:val="auto"/>
        </w:rPr>
      </w:pPr>
    </w:p>
    <w:p>
      <w:pPr>
        <w:ind w:right="40" w:firstLine="921"/>
        <w:spacing w:after="0" w:line="270" w:lineRule="auto"/>
        <w:tabs>
          <w:tab w:leader="none" w:pos="116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Fixed Rent for the Base Year includes a charge for consumption of electricity for the Building Standard lighting fixtures installed in the Premises and for normal small office machines and fixtures connected to the Building’s standard 110-volt, single phase outlets during Normal Business Hours. Tenant shall pay monthly to Landlord, as additional rent, for the consumption of electricity used in the Premises whenever the total connected load exceeds 5 watts per square foot of rentable area of the Premises and for the consumption of electricity used beyond Normal Business Hours at a rate which shall be the higher of: (a) the rate which Tenant would be required to pay if such service was being provided to Tenant directly by the public utility company; or (b) the rate computed on Landlord’s average cost per kilowatt hour. Such average cost shall be determined by dividing the total kilowatt hours used in the Building into the total cost of the utility company’s electricity invoices for the Building. The amount of electrical consumption in the Premises for a total connected load in excess of 4 watts per square foot and Tenant’s consumption of electricity shall be determined by Landlord’s reasonable estimate, or, at either Landlord’s option or Tenant’s request, by an engineering analysis by a consultant retained by Landlord, such engineering analysis to be at Tenant’s sole cost.</w:t>
      </w:r>
    </w:p>
    <w:p>
      <w:pPr>
        <w:spacing w:after="0" w:line="177" w:lineRule="exact"/>
        <w:rPr>
          <w:rFonts w:ascii="Arial" w:cs="Arial" w:eastAsia="Arial" w:hAnsi="Arial"/>
          <w:sz w:val="17"/>
          <w:szCs w:val="17"/>
          <w:color w:val="auto"/>
        </w:rPr>
      </w:pPr>
    </w:p>
    <w:p>
      <w:pPr>
        <w:ind w:firstLine="921"/>
        <w:spacing w:after="0" w:line="290" w:lineRule="auto"/>
        <w:tabs>
          <w:tab w:leader="none" w:pos="116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Tenant shall pay for all electricity required for the operation of any special air conditioning or ventilating system and for any office machinery or equipment requiring special or extra current; and for the maintenance and replacement of all light fixtures, electrical switches, electrical outlets and lamps and for all bulbs, tubes, ballasts and starters located or utilized in the Premises At any time hereafter Landlord may elect to install or cause to be installed separate meters or sub-meters to measure Tenant’s consumption of electricity in the Premises for any such special or excess uses , in which event Tenant shall pay all such meter charges either directly to the public electric utility company supplying the electricity or to Landlord as the case may be at such rates as are set forth in Paragraph 5.B(1) above. In the event that either meters or sub-meters are installed at any time to measure electricity furnished in whole or in part to the Premises, Tenant shall pay all charges for the installation thereof and for the installation of any other electrical equipment required in connection therewith. Charges for excess, overtime or special use electrical consumption shall be billed and paid as additional rent.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274" w:right="259" w:bottom="1440" w:gutter="0" w:footer="0" w:header="0"/>
        </w:sectPr>
      </w:pPr>
    </w:p>
    <w:bookmarkStart w:id="230" w:name="page231"/>
    <w:bookmarkEnd w:id="230"/>
    <w:p>
      <w:pPr>
        <w:ind w:firstLine="921"/>
        <w:spacing w:after="0" w:line="270" w:lineRule="auto"/>
        <w:tabs>
          <w:tab w:leader="none" w:pos="1168" w:val="left"/>
        </w:tabs>
        <w:numPr>
          <w:ilvl w:val="1"/>
          <w:numId w:val="2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use of electrical energy shall never exceed the capacity of the then existing feeders to the Building or the then existing risers or wiring installations. If Tenant wishes to install in the Premises equipment which would not be considered ordinary office equipment, including, but not limited to items such as computer installation(s) or supplemental air conditioning system(s), or other heat or cooling intensive electrically operated equipment, Tenant shall submit to Landlord a list indicating the specific type of additional equipment to be installed. Such list shall include the number, type and model of each item of equipment to be installed, as well as the manufacturer’s electrical rating associated with same. Any riser or risers needed to supply Tenant’s electrical requirements and all other equipment proper and necessary in connection therewith will upon request of Tenant, be installed by Landlord, at Tenant’s sole cost and expense, if in Landlord’s reasonable judgment, the same are necessary and will not cause or create a hazardous condition or entail excessive or unreasonable alterations, repairs or expenses or interference with or disturb other tenants. Tenant shall not, without the prior consent of Landlord, install equipment which would not be considered ordinary office equipment or make or perform or permit any alteration to wiring installations, telephone line installations or other electrical or communication facilities in or serving the Premises.</w:t>
      </w:r>
    </w:p>
    <w:p>
      <w:pPr>
        <w:spacing w:after="0" w:line="177" w:lineRule="exact"/>
        <w:rPr>
          <w:rFonts w:ascii="Arial" w:cs="Arial" w:eastAsia="Arial" w:hAnsi="Arial"/>
          <w:sz w:val="17"/>
          <w:szCs w:val="17"/>
          <w:color w:val="auto"/>
        </w:rPr>
      </w:pPr>
    </w:p>
    <w:p>
      <w:pPr>
        <w:ind w:firstLine="921"/>
        <w:spacing w:after="0" w:line="259" w:lineRule="auto"/>
        <w:tabs>
          <w:tab w:leader="none" w:pos="116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If Tenant shall fail to make payment to Landlord under Paragraph 5.B. or otherwise be in default of this Lease, Landlord may, upon twenty-four (24) hours prior written notice to Tenant at the Premises only, and in addition to all other remedies available to Landlord, disconnect or cause to be disconnected electricity service to the Premises. No such disconnection of electricity service shall result in any liability of Landlord to Tenant or be deemed to be an eviction or a disturbance of Tenant’s use of the Premises.</w:t>
      </w:r>
    </w:p>
    <w:p>
      <w:pPr>
        <w:spacing w:after="0" w:line="186" w:lineRule="exact"/>
        <w:rPr>
          <w:rFonts w:ascii="Arial" w:cs="Arial" w:eastAsia="Arial" w:hAnsi="Arial"/>
          <w:sz w:val="18"/>
          <w:szCs w:val="18"/>
          <w:color w:val="auto"/>
        </w:rPr>
      </w:pPr>
    </w:p>
    <w:p>
      <w:pPr>
        <w:ind w:right="100" w:firstLine="921"/>
        <w:spacing w:after="0" w:line="257" w:lineRule="auto"/>
        <w:tabs>
          <w:tab w:leader="none" w:pos="116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If either the quantity or character of the electrical service is changed by the utility company supplying electrical service to the Building or is no longer available or suitable for Tenant’s requirements, no such change, unavailability or unsuitability shall constitute an actual or constructive eviction, in whole or in part, or entitle Tenant to any abatement or diminution of Fixed Rent or additional rent, or relieve Tenant from any of its obligations under this Lease or impose any liability upon Landlord, or its agents, by reason of inconvenience or annoyance to Tenant, or injury to or interruption of Tenant’s equipment, business, or otherwise.</w:t>
      </w:r>
    </w:p>
    <w:p>
      <w:pPr>
        <w:spacing w:after="0" w:line="188" w:lineRule="exact"/>
        <w:rPr>
          <w:rFonts w:ascii="Arial" w:cs="Arial" w:eastAsia="Arial" w:hAnsi="Arial"/>
          <w:sz w:val="18"/>
          <w:szCs w:val="18"/>
          <w:color w:val="auto"/>
        </w:rPr>
      </w:pPr>
    </w:p>
    <w:p>
      <w:pPr>
        <w:ind w:left="1180" w:hanging="259"/>
        <w:spacing w:after="0"/>
        <w:tabs>
          <w:tab w:leader="none" w:pos="11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Tenant agrees upon Landlord’s request to promptly execute such amendments to this Lease that may be required pursuant to the foregoing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subparagraphs.</w:t>
      </w:r>
    </w:p>
    <w:p>
      <w:pPr>
        <w:spacing w:after="0" w:line="210" w:lineRule="exact"/>
        <w:rPr>
          <w:rFonts w:ascii="Arial" w:cs="Arial" w:eastAsia="Arial" w:hAnsi="Arial"/>
          <w:sz w:val="16"/>
          <w:szCs w:val="16"/>
          <w:color w:val="auto"/>
        </w:rPr>
      </w:pPr>
    </w:p>
    <w:p>
      <w:pPr>
        <w:ind w:right="40" w:firstLine="464"/>
        <w:spacing w:after="0" w:line="289" w:lineRule="auto"/>
        <w:tabs>
          <w:tab w:leader="none" w:pos="66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Tenant shall make arrangements directly with the telephone company servicing the Premises for telephone service in and to the Premises as may be desired by Tenant. Tenant shall pay the entire cost of all telephone charges and maintenance charges directly to the telephone company providing such service. Tenant acknowledges that Landlord has made no representations as to the general fitness of any telephone equipment, telephone wires, telephone lines, telecommunications cable, riser, equipment, individual pairs and all associated equipment and facilities servicing the Premises, (collectively, the “Telephone Equipment”), and that Landlord does not warrant the uninterrupted or unimpaired transmission of messages, data or other signals. Tenant shall be responsible for the repair and maintenance for all of the Telephone Equipment, and for all of its telephone lines to the point of entry into the Premises at the connection with the telephone lines servicing the Premises. Landlord shall not be responsible for any injury or loss or damage resulting from the interruption or failure of the transmission of messages, data or other signals in the Premises. Tenant shall not, without the prior written consent of Landlord, alter, modify or in any way change any existing telecommunication equipment, lines or facilities in the Premises.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74" w:right="259" w:bottom="1440" w:gutter="0" w:footer="0" w:header="0"/>
        </w:sectPr>
      </w:pPr>
    </w:p>
    <w:bookmarkStart w:id="231" w:name="page232"/>
    <w:bookmarkEnd w:id="23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Landlord shall in no event be obligated to furnish any services or utilities, other than those specified in Paragraphs 5.A. and 5.B. above. If Landlord elects to furnish services or utilities requested by Tenant in addition to those specified in Paragraphs 5.A. and B. above (including utility service at times other than those specified in said sections), Tenant shall pay Landlord’s then prevailing rates for such services and utilities, within ten (10) days after receipt of Landlord’s invoices therefor. If Tenant shall fail to make any such payment or otherwise be in default of this Lease, Landlord may, upon twenty-four</w:t>
      </w:r>
    </w:p>
    <w:p>
      <w:pPr>
        <w:spacing w:after="0" w:line="2" w:lineRule="exact"/>
        <w:rPr>
          <w:sz w:val="20"/>
          <w:szCs w:val="20"/>
          <w:color w:val="auto"/>
        </w:rPr>
      </w:pPr>
    </w:p>
    <w:p>
      <w:pPr>
        <w:ind w:firstLine="8"/>
        <w:spacing w:after="0" w:line="255" w:lineRule="auto"/>
        <w:tabs>
          <w:tab w:leader="none" w:pos="34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hours prior written notice to Tenant at the Premises only, and in addition to all other remedies available to Landlord, discontinue any or all of the services or utilities being provided by Landlord. No discontinuance of any service or utility pursuant to this Paragraph 5.D. shall result in any liability of Landlord to Tenant or be deemed to be an eviction or a disturbance or Tenant’s use of the Premises.</w:t>
      </w:r>
    </w:p>
    <w:p>
      <w:pPr>
        <w:spacing w:after="0" w:line="190" w:lineRule="exact"/>
        <w:rPr>
          <w:rFonts w:ascii="Arial" w:cs="Arial" w:eastAsia="Arial" w:hAnsi="Arial"/>
          <w:sz w:val="18"/>
          <w:szCs w:val="18"/>
          <w:color w:val="auto"/>
        </w:rPr>
      </w:pPr>
    </w:p>
    <w:p>
      <w:pPr>
        <w:ind w:right="120" w:firstLine="464"/>
        <w:spacing w:after="0" w:line="276" w:lineRule="auto"/>
        <w:tabs>
          <w:tab w:leader="none" w:pos="656"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Tenant agrees that Landlord shall not be liable for damages for failure to furnish or delay in furnishing any service, which failure or delay is caused in whole or in part, by any one or more of the causes specified in Paragraph 24.J. hereof. No failure or delay in furnishing any service caused in whole or in part by any one or more of the causes specified in Paragraph 24.J. hereof shall result in any liability of Landlord to Tenant, or be deemed to be an eviction or disturbance of Tenant’s use of the Premises, or relieve Tenant of any of its obligations under this Lease including the obligation to pay Rent. Tenant hereby waives and releases all claims against Landlord from damages for interruption or stoppage of such services.</w:t>
      </w:r>
    </w:p>
    <w:p>
      <w:pPr>
        <w:spacing w:after="0" w:line="277" w:lineRule="exact"/>
        <w:rPr>
          <w:sz w:val="20"/>
          <w:szCs w:val="20"/>
          <w:color w:val="auto"/>
        </w:rPr>
      </w:pPr>
    </w:p>
    <w:p>
      <w:pPr>
        <w:ind w:left="180" w:hanging="172"/>
        <w:spacing w:after="0"/>
        <w:tabs>
          <w:tab w:leader="none" w:pos="1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MORTGAGE BY LANDLORD.</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Lease is expressly subject and subordinate at all times to (i) any ground, underlying or operating lease of the Building or the Land upon which the Building is situated now or hereafter existing and all amendments, renewals and modifications thereof (“Superior Leases”), and (ii) the lien of any mortgage or trust deed encumbering the Building, the Land or any such Superior Leases now or hereafter existing (“Superior Mortgages”), and to all advances made or to be made upon the security thereof. Tenant agrees:</w:t>
      </w:r>
    </w:p>
    <w:p>
      <w:pPr>
        <w:spacing w:after="0" w:line="79" w:lineRule="exact"/>
        <w:rPr>
          <w:sz w:val="20"/>
          <w:szCs w:val="20"/>
          <w:color w:val="auto"/>
        </w:rPr>
      </w:pPr>
    </w:p>
    <w:p>
      <w:pPr>
        <w:ind w:right="660" w:firstLine="921"/>
        <w:spacing w:after="0" w:line="308" w:lineRule="auto"/>
        <w:tabs>
          <w:tab w:leader="none" w:pos="115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requested by any mortgagee, trustee or lessor under a Superior Mortgage or Superior Lease, Tenant will execute such agreement or agreements evidencing such subordination as may be reasonably required by any such mortgagee, trustee, or lessor; and</w:t>
      </w:r>
    </w:p>
    <w:p>
      <w:pPr>
        <w:spacing w:after="0" w:line="38" w:lineRule="exact"/>
        <w:rPr>
          <w:rFonts w:ascii="Arial" w:cs="Arial" w:eastAsia="Arial" w:hAnsi="Arial"/>
          <w:sz w:val="17"/>
          <w:szCs w:val="17"/>
          <w:color w:val="auto"/>
        </w:rPr>
      </w:pPr>
    </w:p>
    <w:p>
      <w:pPr>
        <w:ind w:firstLine="921"/>
        <w:spacing w:after="0" w:line="255" w:lineRule="auto"/>
        <w:tabs>
          <w:tab w:leader="none" w:pos="11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of any default by Landlord under this Lease which would give Tenant the right to terminate this Lease or to claim a partial or total eviction, Tenant will not exercise any such right (i) until it has notified in writing the holders of all Superior Mortgages and the lessors of all Superior Leases (as the case may be, if the name and address of such holder or lessor shall previously have been furnished by written notice to Tenant), of such default, and (ii) until a reasonable period, not exceeding thirty (30) days, for commencing the remedying of such default shall have lapsed following the giving of such notice, and (iii) unless such holder or lessor (as the case may be) with reasonable diligence, shall not have so commenced and continued to remedy such default or to cause such default to be remedied.</w:t>
      </w:r>
    </w:p>
    <w:p>
      <w:pPr>
        <w:spacing w:after="0" w:line="193"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any Superior Mortgage be foreclosed, or if any Superior Lease be terminated, upon request of the mortgagee, trustee, lessor or purchaser at any foreclosure sale, Tenant will attorn to the purchaser at any foreclosure sale or the lessor under the Superior Lease (as the case may be) and will execute such instruments as may be necessary or appropriate to evidence such attornment; and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00"/>
          </w:cols>
          <w:pgMar w:left="240" w:top="274" w:right="259" w:bottom="1440" w:gutter="0" w:footer="0" w:header="0"/>
        </w:sectPr>
      </w:pPr>
    </w:p>
    <w:bookmarkStart w:id="232" w:name="page233"/>
    <w:bookmarkEnd w:id="232"/>
    <w:p>
      <w:pPr>
        <w:ind w:firstLine="921"/>
        <w:spacing w:after="0" w:line="270" w:lineRule="auto"/>
        <w:tabs>
          <w:tab w:leader="none" w:pos="1168" w:val="left"/>
        </w:tabs>
        <w:numPr>
          <w:ilvl w:val="1"/>
          <w:numId w:val="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from time to time upon not less than ten (10) days’ prior request by Landlord, deliver to Landlord a statement, in form satisfactory to Landlord, in writing and certifying: (i) that this Lease is unmodified and in full force and effect (or, if there have been modifications that the Lease as modified is in full force and effect); (ii) the dates to which Rent and other charges have been paid; (iii) that Landlord is not in default under any provision of this Lease, or, if in default, the nature thereof in detail, it being intended that any such statement may be relied upon by any prospective purchaser or tenant of the Building, any mortgagees or prospective mortgagees thereof; or any prospective assignee of any mortgage thereof, and (iv) such other matters as may be reasonably requested. Tenant shall execute and deliver the aforesaid estoppel letter and whatever instruments maybe required for such purposes and, without limitation of Landlord’s other rights and remedies or Tenant’s liability for failure so to do, if Tenant fails so to do within ten (10) days after demand in writing, Tenant shall be deemed to have accepted and executed such estoppel letter and other documents and hereby authorizes Landlord as its attorney-in-fact for the sole purpose of executing such estoppel letter and other documents.</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Tenant shall, from time to time upon not less than ten (10) days’ prior request by Landlord, but in no event more than once in any six</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month period, provide to Landlord its then current financial information pertaining to the Tenant.</w:t>
      </w:r>
    </w:p>
    <w:p>
      <w:pPr>
        <w:spacing w:after="0" w:line="210" w:lineRule="exact"/>
        <w:rPr>
          <w:rFonts w:ascii="Arial" w:cs="Arial" w:eastAsia="Arial" w:hAnsi="Arial"/>
          <w:sz w:val="18"/>
          <w:szCs w:val="18"/>
          <w:color w:val="auto"/>
        </w:rPr>
      </w:pPr>
    </w:p>
    <w:p>
      <w:pPr>
        <w:ind w:right="100" w:firstLine="921"/>
        <w:spacing w:after="0" w:line="257" w:lineRule="auto"/>
        <w:tabs>
          <w:tab w:leader="none" w:pos="113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Within thirty (30) from Landlord’ receipt of Tenant’s written request, Landlord shall use commercially reasonable efforts to deliver to Tenant a subordination, non-disturbance and attornment agreement (the “SNDA”) from any lenders holding Superior Mortgages in such lenders standard form. However, Landlord shall not be required to expend any money, or suffer any losses or liability to obtain the SNDA and the inability of Landlord to obtain the SNDA (a) shall not constitute a default by Landlord under the Lease; (b) entitle Tenant to cancel or otherwise terminate the Lease; or (c) affect the self-operative nature of the subordination provisions set forth in this Section 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RIGHTS RESERVED TO LANDLORD.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Landlord reserves the following rights:</w:t>
      </w:r>
    </w:p>
    <w:p>
      <w:pPr>
        <w:spacing w:after="0" w:line="117" w:lineRule="exact"/>
        <w:rPr>
          <w:sz w:val="20"/>
          <w:szCs w:val="20"/>
          <w:color w:val="auto"/>
        </w:rPr>
      </w:pPr>
    </w:p>
    <w:p>
      <w:pPr>
        <w:ind w:right="640" w:firstLine="464"/>
        <w:spacing w:after="0" w:line="342" w:lineRule="auto"/>
        <w:tabs>
          <w:tab w:leader="none" w:pos="70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Entry - if Tenant vacates or abandons the Premises, to enter the Premises in order to decorate, remodel, repair, alter or otherwise prepare the Premises for re-occupancy, without same being deemed acceptance of a surrender and without affecting Tenant’s obligation to pay Rent.</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Pass Keys - to have pass keys to the Premises.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Access to Premises - to have access to the Premises at any time in the event of an emergency and otherwise at reasonable times.</w:t>
      </w:r>
    </w:p>
    <w:p>
      <w:pPr>
        <w:spacing w:after="0" w:line="225" w:lineRule="exact"/>
        <w:rPr>
          <w:rFonts w:ascii="Arial" w:cs="Arial" w:eastAsia="Arial" w:hAnsi="Arial"/>
          <w:sz w:val="18"/>
          <w:szCs w:val="18"/>
          <w:color w:val="auto"/>
        </w:rPr>
      </w:pPr>
    </w:p>
    <w:p>
      <w:pPr>
        <w:ind w:right="220" w:firstLine="464"/>
        <w:spacing w:after="0" w:line="308" w:lineRule="auto"/>
        <w:tabs>
          <w:tab w:leader="none" w:pos="71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Show Premises - to show the Premises to prospective tenants or brokers during the last six (6) months of the Term, and to prospective purchasers, mortgagees and others having a legitimate interest at all reasonable times upon prior notice given to Tenant at the Premises only.</w:t>
      </w:r>
    </w:p>
    <w:p>
      <w:pPr>
        <w:spacing w:after="0" w:line="146" w:lineRule="exact"/>
        <w:rPr>
          <w:rFonts w:ascii="Arial" w:cs="Arial" w:eastAsia="Arial" w:hAnsi="Arial"/>
          <w:sz w:val="17"/>
          <w:szCs w:val="17"/>
          <w:color w:val="auto"/>
        </w:rPr>
      </w:pPr>
    </w:p>
    <w:p>
      <w:pPr>
        <w:ind w:right="240" w:firstLine="464"/>
        <w:spacing w:after="0" w:line="264"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Heavy Equipment - to approve the weight, size and location of safes or heavy equipment or other articles. Such items may be moved in, about, or out of the Building or the Premises only at such times and in such manner as Landlord shall direct and in all events, however, at Tenant’s sole risk and responsibility.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74" w:right="239" w:bottom="1440" w:gutter="0" w:footer="0" w:header="0"/>
        </w:sectPr>
      </w:pPr>
    </w:p>
    <w:bookmarkStart w:id="233" w:name="page234"/>
    <w:bookmarkEnd w:id="233"/>
    <w:p>
      <w:pPr>
        <w:ind w:right="40" w:firstLine="464"/>
        <w:spacing w:after="0" w:line="276" w:lineRule="auto"/>
        <w:tabs>
          <w:tab w:leader="none" w:pos="681" w:val="left"/>
        </w:tabs>
        <w:numPr>
          <w:ilvl w:val="0"/>
          <w:numId w:val="2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Close Building—to close the Building after Normal Business Hours and on holidays subject, however, to Tenant’s right to admittance under such regulations as Landlord may prescribe from time to time, which may include by way of example but not of limitation, that persons entering or leaving the Building identify themselves to a watchman by registration, photo identification cards, or otherwise and that said persons establish their right to enter or leave the Building. Landlord may exclude or expel any peddler(s) at any time. Landlord shall also have the right to prohibit or restrict access to the Building in the event of an emergency or for the purpose of testing the Building’s life, safety and emergency systems.</w:t>
      </w:r>
    </w:p>
    <w:p>
      <w:pPr>
        <w:spacing w:after="0" w:line="172" w:lineRule="exact"/>
        <w:rPr>
          <w:rFonts w:ascii="Arial" w:cs="Arial" w:eastAsia="Arial" w:hAnsi="Arial"/>
          <w:sz w:val="17"/>
          <w:szCs w:val="17"/>
          <w:color w:val="auto"/>
        </w:rPr>
      </w:pPr>
    </w:p>
    <w:p>
      <w:pPr>
        <w:ind w:right="60" w:firstLine="464"/>
        <w:spacing w:after="0" w:line="297" w:lineRule="auto"/>
        <w:tabs>
          <w:tab w:leader="none" w:pos="71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Building Identification and Appearance—to change the Building’s name or street address; to install and maintain all signs on the exterior or interior of the Building, to approve prior to installation, all signs, shades, blinds, drapes and internal lighting; and to change the arrangement of entrances, doors, corridors, stairs and other public service portions of the Building. If Tenant’s Premises includes the area located directly adjacent to the elevator corridors/lobby, Tenant shall utilize such area only in a business-like and professional manner, and Landlord expressly reserves the right to control the appearance and use of such elevator corridors/lobby by Tenant. Further, Landlord also reserves the right of access to such elevator corridors/lobby.</w:t>
      </w:r>
    </w:p>
    <w:p>
      <w:pPr>
        <w:spacing w:after="0" w:line="158"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Exclusives—to grant to any party the exclusive right to conduct any business or service in the Building, provided such exclusive right shall not operate to prohibit Tenant from using the Premises for the purposes permitted hereunder. Landlord represents, to its actual knowledge, that Tenant’s use of the Premises will not violate any existing Lease restrictions.</w:t>
      </w:r>
    </w:p>
    <w:p>
      <w:pPr>
        <w:spacing w:after="0" w:line="181" w:lineRule="exact"/>
        <w:rPr>
          <w:rFonts w:ascii="Arial" w:cs="Arial" w:eastAsia="Arial" w:hAnsi="Arial"/>
          <w:sz w:val="18"/>
          <w:szCs w:val="18"/>
          <w:color w:val="auto"/>
        </w:rPr>
      </w:pPr>
    </w:p>
    <w:p>
      <w:pPr>
        <w:ind w:right="440" w:firstLine="464"/>
        <w:spacing w:after="0" w:line="277" w:lineRule="auto"/>
        <w:tabs>
          <w:tab w:leader="none" w:pos="6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Vending Machines—Tenant shall not have vending machines placed in the Premises or obtain mobile vending service without Landlord’s prior written consent.</w:t>
      </w:r>
    </w:p>
    <w:p>
      <w:pPr>
        <w:spacing w:after="0" w:line="1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Landlord may enter upon the Premises and may exercise any or all of the foregoing rights hereby reserved without being liable in any manner to Tenant. Any such entry and/or exercise of rights shall not in any way affect the obligations of Tenant under this Lease, including without limitation, the obligation to pay Rent.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WAIVER.</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Tenant waives all claims it may have against Landlord and the Building manager and their respective agents or employees, for injury or damage to person, property or business sustained by Tenant, its agents, employees or invitees resulting directly or indirectly from the Premises, equipment therein, or any part of the Premises becoming out of repair or resulting from any accident within the Premises except where such injury or damage was caused directly or indirectly from the negligence, gross negligence or intentional misconduct of Landlord, the Building manager, or their agents. This provision shall apply without limitation to damage caused by water, snow, frost, steam, gas, sewer gas or odors, or by the bursting or leaking of pipes or plumbing works or the failure of any appurtenances or equipment. If any such damage to the Premises, any equipment or property located therein, or to tenants thereof, results from any act, omission or negligence of Tenant, its agents, employees or invitees, Landlord may, at Landlord’s option, repair such damage, and Tenant shall pay to Landlord as additional rent and on demand the amount of all costs of such repairs and damages.</w:t>
      </w:r>
    </w:p>
    <w:p>
      <w:pPr>
        <w:spacing w:after="0" w:line="283" w:lineRule="exact"/>
        <w:rPr>
          <w:sz w:val="20"/>
          <w:szCs w:val="20"/>
          <w:color w:val="auto"/>
        </w:rPr>
      </w:pPr>
    </w:p>
    <w:p>
      <w:pPr>
        <w:ind w:left="280" w:hanging="272"/>
        <w:spacing w:after="0"/>
        <w:tabs>
          <w:tab w:leader="none" w:pos="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INDEMNIFICATION, CASUALTY.</w:t>
      </w:r>
    </w:p>
    <w:p>
      <w:pPr>
        <w:spacing w:after="0" w:line="121" w:lineRule="exact"/>
        <w:rPr>
          <w:rFonts w:ascii="Arial" w:cs="Arial" w:eastAsia="Arial" w:hAnsi="Arial"/>
          <w:sz w:val="18"/>
          <w:szCs w:val="18"/>
          <w:b w:val="1"/>
          <w:bCs w:val="1"/>
          <w:color w:val="auto"/>
        </w:rPr>
      </w:pPr>
    </w:p>
    <w:p>
      <w:pPr>
        <w:ind w:right="720" w:firstLine="456"/>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 (1) Tenant shall, on or before the Commencement Date of the Term, secure and maintain during the entire Term of the Lease, the following insurance coverage: (i) comprehensive general liability insurance for the mutual benefit of Landlord, its managing agent,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Execution</w:t>
            </w:r>
          </w:p>
        </w:tc>
        <w:tc>
          <w:tcPr>
            <w:tcW w:w="26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74" w:right="239" w:bottom="1440" w:gutter="0" w:footer="0" w:header="0"/>
        </w:sectPr>
      </w:pPr>
    </w:p>
    <w:bookmarkStart w:id="234" w:name="page235"/>
    <w:bookmarkEnd w:id="234"/>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(Draxxhall Management Corporation) and affiliates and other related parties, and Tenant relating to the Premises and its appurtenances in an amount of not less than One Million and 00/100 Dollars ($1,000,000.00) in respect of personal injury or death, or property damage, per occurrence; and of not less than Three Million and 00/100 Dollars ($3,000,000.00) aggregate plus Five Million and 00/100 Dollars ($5,000,000.00) Excess Liability and Umbrella Coverage; such insurance shall name Landlord and Tenant as insureds as their respective interests may appear and contain a stipulation that Tenant’s insurance provides Primary and Non Contributory</w:t>
      </w:r>
    </w:p>
    <w:p>
      <w:pPr>
        <w:spacing w:after="0" w:line="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Coverage; and (ii) fire and extended coverage, vandalism, malicious mischief and special extended coverage insurance covering all risks of physical loss or damage, in an amount adequate to cover the cost of replacement of all leasehold or Building improvements in the Premises which were originally constructed or provided by or on behalf of Landlord or thereafter added, as well as the cost of replacement of all fixtures, equipment, decoration, contents and personal property therein; such insurance shall name Landlord and Tenant as insureds as their respective interests may appear; and (iii) if there is a boiler or air conditioning equipment that has been installed by or for Tenant, in, on, adjoining or beneath the Premises, broad form, boiler or machine insurance in the amount of Two Hundred Fifty Thousand and 00/100 Dollars ($250,000.00); and (iv) Workers Compensation insurance coverage which shall be endorsed to waive subrogation against Landlord. Tenant agrees to deliver to Landlord at least fifteen (15) days prior to the time such insurance is first required to be carried by Tenant, and thereafter at least fifteen (15) days prior to the expiration of any such policy, either a duplicate policy or a certificate of insurance with the endorsement page evidencing that Landlord and its related parties set forth above are additional insureds and loss payee, procured by Tenant evidencing compliance with its obligations and payment therefor.</w:t>
      </w:r>
    </w:p>
    <w:p>
      <w:pPr>
        <w:spacing w:after="0" w:line="180"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All of the aforesaid insurance shall be written by one or more responsible insurance companies that is rated A-VII by A.M. Best Financial satisfactory to Landlord and shall contain endorsements that: (i) such insurance may not be cancelled or amended with respect to Landlord except upon thirty (30) days written notice by registered mail to Landlord from the insurer; and (ii) Tenant shall be solely responsible for payment of premiums for such insurance. In the event Tenant fails to furnish such insurance, Landlord may obtain such insurance and the premiums shall be paid by Tenant to Landlord upon demand. The minimum limits of the aforesaid insurance shall be subject to increase at the end of every three (3) years during the Term if Landlord, in the exercise of its reasonable judgment, shall deem it necessary for adequate protection.</w:t>
      </w:r>
    </w:p>
    <w:p>
      <w:pPr>
        <w:spacing w:after="0" w:line="178" w:lineRule="exact"/>
        <w:rPr>
          <w:sz w:val="20"/>
          <w:szCs w:val="20"/>
          <w:color w:val="auto"/>
        </w:rPr>
      </w:pPr>
    </w:p>
    <w:p>
      <w:pPr>
        <w:ind w:right="20" w:firstLine="921"/>
        <w:spacing w:after="0" w:line="291" w:lineRule="auto"/>
        <w:tabs>
          <w:tab w:leader="none" w:pos="116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Tenant agrees, at its own cost and expense, to comply with all of the rules, regulations and recommendations of the Fire Insurance Rating organization having jurisdiction and any similar body. If, at any time, as a result of any failure by Tenant to comply with the foregoing sentence or any act of omission or commission by Tenant, its employees, contractors or licensees, the fire insurance rate(s) and/or rent insurance rates applicable to the Premises, or the Building shall be higher than that which would be applicable for the least hazardous type of occupancy legally permitted therein, Tenant agrees that it will pay to Landlord, on demand, as additional rent, such portion of the premiums for all fire insurance policies and/or rent insurance policies in force with respect to the aforesaid property and the contents thereof as shall be attributable to such higher rate(s). For the purpose of this Paragraph, any finding or schedule of the Fire Insurance Rating organization having jurisdiction thereof shall be deemed to be conclusive.</w:t>
      </w:r>
    </w:p>
    <w:p>
      <w:pPr>
        <w:spacing w:after="0" w:line="167" w:lineRule="exact"/>
        <w:rPr>
          <w:rFonts w:ascii="Arial" w:cs="Arial" w:eastAsia="Arial" w:hAnsi="Arial"/>
          <w:sz w:val="16"/>
          <w:szCs w:val="16"/>
          <w:color w:val="auto"/>
        </w:rPr>
      </w:pPr>
    </w:p>
    <w:p>
      <w:pPr>
        <w:ind w:right="20" w:firstLine="921"/>
        <w:spacing w:after="0" w:line="312" w:lineRule="auto"/>
        <w:tabs>
          <w:tab w:leader="none" w:pos="116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Each insurance policy carried by Landlord or Tenant and insuring all or any part of the Building, the Premises, shall be written in a manner to provide that the insurance company waives all right of recovery by way of subrogation against Landlord and its agent or Tenant, as the case may be, in connection with any loss or damage to the Premises or the Building, or to property or business caused by any of the perils covered by fire and extended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74" w:right="259" w:bottom="1440" w:gutter="0" w:footer="0" w:header="0"/>
        </w:sectPr>
      </w:pPr>
    </w:p>
    <w:bookmarkStart w:id="235" w:name="page236"/>
    <w:bookmarkEnd w:id="23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coverage, building and contents, and business interruption insurance, for which either party may be reimbursed as a result of insurance coverage affecting any loss suffered by it. So long as the policy or policies involved can be so written and maintained in effect, neither Landlord nor Tenant shall be liable to the other for any such loss or damage; provided, however, that the foregoing waivers of liability given by Landlord and Tenant to each other shall apply only to the extent of any recovery made by the parties hereto under any policy of insurance now or hereafter issued. In the event of the inability on the part of either party to obtain such a provision in its policy or policies with the carrier with whom such insurance is then carried, or such carriers require payment of additional premium for such provision, the party so affected shall give the other party written notice of such inability or the increase in premium as the case may be. The party to whom such notice is given shall have fifteen (15) days from the receipt thereof within which: (1) in the case of such inability on the part of the other carrier, to procure from the aforesaid party’s insurance carrier in writing, at no increase in premium over that paid theretofore by the party so affected, such waiver of subrogation; (2) in the case of increased premium, to pay the party so affected the amount of such increase; (3) to waive, in writing, within the time limit set forth herein, such requirement to obtain the aforesaid waiver of subrogation. Should the party to whom such notice is given fail to comply as aforesaid within the said fifteen (15) day period, each and every provision in this subsection (3) in favor of such defaulting party shall be cancelled and of no further force and effect.</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 Tenant will indemnify, save harmless, and defend Landlord from and against any and all claims and demands in connection with any accident, injury or damage whatsoever caused to any person or property arising directly or indirectly out of the business conducted in the Premises or occurring in, on or about the Premises or any part thereof, or arising directly or indirectly from any act or omission of Tenant or any concessionaire or subtenant or its or their respective licensees, servants, agents, employees, or contractors, and from and against any and all cost, expenses and liability, including reasonable attorneys’ fees, incurred in connection with any such claim or proceeding brought thereon, provided such accident, injury or damage was not caused solely by the negligence, gross negligence or intentional acts of Landlord.</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 (1) Should the Premises (or any part thereof) be damaged or destroyed by fire or other casualty insured under Landlord’s standard fire and casualty insurance policy with approved standard extended coverage endorsement applicable to the Premises, Landlord shall, except as otherwise provided herein, and to the extent it recovers proceeds from such insurance, repair and/or rebuild the same with reasonable diligence. Landlord’s obligation hereunder shall be limited to the Building and improvements originally provided by Landlord at the Commencement Date of the Term. Landlord shall not be obligated to repair, rebuild or replace any property belonging to Tenant or any leasehold or building improvements in the Premises which were originally constructed or provided by or on behalf of Tenant at Tenant’s cost. If there should be a substantial interference with the operation of Tenant’s business in the Premises as a result of such damage or destruction which requires Tenant as a result of such damage or destruction to temporarily close its business to the public, the Fixed Rent and additional rent shall abate. Unless this Lease is terminated as hereinafter provided, Tenant shall, at its cost and expense, repair, restore, redecorate and re-fixture the Premises and restock the contents thereof in a manner and to at least a condition equal to that existing prior to such damage or destruction except for the Building and improvements to be reconstructed by Landlord as above set forth, and the proceeds of all insurance carried by Tenant on the property, decorations and improvements, as well as fixtures and contents in the Premises, shall be held in trust by Tenant for such purposes. Tenant agrees to commence such work within ten (10) days after the date of such damage or destruction or the date Landlord substantially completes any reconstruction required to be completed by it pursuant to the above, whichever date is later, and Tenant shall diligently pursue such work to its completion.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68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274" w:right="259" w:bottom="1440" w:gutter="0" w:footer="0" w:header="0"/>
        </w:sectPr>
      </w:pPr>
    </w:p>
    <w:bookmarkStart w:id="236" w:name="page237"/>
    <w:bookmarkEnd w:id="236"/>
    <w:p>
      <w:pPr>
        <w:ind w:firstLine="921"/>
        <w:spacing w:after="0" w:line="291" w:lineRule="auto"/>
        <w:tabs>
          <w:tab w:leader="none" w:pos="1168" w:val="left"/>
        </w:tabs>
        <w:numPr>
          <w:ilvl w:val="1"/>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the preceding Paragraph C(1) or elsewhere in this Lease, either party, at its option, may terminate this Lease on thirty (30) days notice to the other party, given within ninety (90) days after the occurrence of any damage or destruction if: (1) the Premises are damaged or destroyed as a result of a risk which is not covered by Landlord’s insurance, or (2) the Premises are damaged and the cost to repair the same shall be more than twenty-five percent (25%) of the cost of replacement thereof, or (3) the Premises are damaged during the last three (3) years of the Term, or (4) the Building in which the Premises are located is damaged to the extent of twenty-five percent (25%) or more of the then monetary value thereof (whether the Premises be damaged or not), or (5) if the Building in which the Premises are located is damaged (whether or not the Premises are damaged) to such an extent that, in the sole judgment of Landlord, the Building cannot be operated as an integral unit.</w:t>
      </w:r>
    </w:p>
    <w:p>
      <w:pPr>
        <w:spacing w:after="0" w:line="271" w:lineRule="exact"/>
        <w:rPr>
          <w:rFonts w:ascii="Arial" w:cs="Arial" w:eastAsia="Arial" w:hAnsi="Arial"/>
          <w:sz w:val="16"/>
          <w:szCs w:val="16"/>
          <w:color w:val="auto"/>
        </w:rPr>
      </w:pPr>
    </w:p>
    <w:p>
      <w:pPr>
        <w:ind w:left="260" w:hanging="252"/>
        <w:spacing w:after="0"/>
        <w:tabs>
          <w:tab w:leader="none" w:pos="2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OF PREMISES.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Tenant shall deliver the Premises to Landlord upon the expiration or sooner termination of the Term or upon termination of Tenant’s right of possession of the Premises in as good condition as when Tenant was first entitled to possession thereof, ordinary wear and fire and other casualty not resulting from Tenant’s negligence excepted, failing which Landlord may restore the Premises to such condition and Tenant shall pay Landlord the cost thereof in accordance with the provisions of Paragraph 24N hereof. All installations, alterations, additions, hardware, non-trade fixtures and improvements, temporary or permanent, except movable furniture, trade fixtures and equipment belonging to Tenant, (“Fixtures”) in or upon the Premises, whether placed there by Tenant or Landlord, shall be Landlord’s property and shall be relinquished to Landlord in good condition, ordinary wear and tear excepted, at the termination of this Lease or Tenant’s right to possession by lapse of time or otherwise, all without compensation, allowance or credit to Tenant; provided, however, that if prior to such termination or within fifteen (15) days thereafter Landlord so directs by notice, Tenant shall promptly remove the Fixtures placed in or upon the Premises by Tenant and designated in the notice and restore the Premises, failing which Landlord may remove the same and Tenant shall, upon demand, pay to Landlord the cost of such removal and of any necessary restoration of the Premises.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ALTERATIONS.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Tenant shall not make any alterations, additions, improvements or decorations to the Premises without Landlord’s prior written consent, and Tenant shall, if requested by Landlord, furnish Landlord with plans and specifications, names and addresses of contractors, copies of contracts necessary permits and indemnification in form and amount satisfactory to Landlord, and Tenant shall, in exchange for payment for any work, cause its contractors, all sub-contractor(s) and any party providing materials for any work, to file valid and effective waivers of lien against any and all claims, costs, damages, liabilities and expenses which may arise in connection with any such work. Tenant hereby agrees to indemnify and hold harmless Landlord, its agents and employees from any and all liabilities of every kind and description which may arise out of or be connected in any way with any such work. Before commencing any such work, Tenant shall furnish Landlord with certificates of insurance from all contractors performing labor or furnishing materials insuring Landlord in such amounts as Landlord deems appropriate against any and all liabilities which may arise out of or be connected in any way with such work. Tenant shall pay the cost of all such work and also the cost of decorating the Premises occasioned by such work.</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Upon completing any such work, Tenant shall furnish Landlord with contractors’ affidavits and full and final waivers of lien and receipted bills covering all labor and materials expended and used. Tenant shall obtain valid and effective lien waiver(s) from each sub-contractor, contractor or material provider in exchange for all payments made to such sub-contractor, contractor, or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00"/>
          </w:cols>
          <w:pgMar w:left="240" w:top="274" w:right="259" w:bottom="1440" w:gutter="0" w:footer="0" w:header="0"/>
        </w:sectPr>
      </w:pPr>
    </w:p>
    <w:bookmarkStart w:id="237" w:name="page238"/>
    <w:bookmarkEnd w:id="23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provider of materials for any such work. All such work shall comply with all insurance requirements, with all of Landlord’s Rules and Regulations, and with all applicable laws (including, but not limited to The Americans with Disabilities Act), ordinances, and regulations. If any such work results in a change in the heating, cooling or ventilating load in the Premises, Tenant shall, at its expense but at Landlord’s option, either modify the existing systems or provide supplementary heating, ventilating and/or air conditioning systems or equipment necessary to accommodate such load change. Tenant shall perform or cause such work to be performed in a manner that will not interfere with or impair the use and enjoyment of any other portion of the Building by Landlord and/or other tenants.</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Tenant shall not permit any lien or claim for lien of any mechanic, laborer or supplier or any other lien to be filed against the Building, the land upon which the Building is situated, the Premises, or any part thereof arising out of work performed, or alleged to have been performed by, or under the direction of, or on behalf of Tenant. If any such lien or claim for lien is filed, Tenant immediately shall either have such lien or claim for lien released of record or shall deliver to Landlord a bond in form, content and amount satisfactory to Landlord, indemnifying Landlord and anyone else designated by Landlord against all costs and liabilities resulting from such lien or claim for lien and the foreclosure or attempted foreclosure thereof. If Tenant fails to have such lien or claim for liens released or to deliver such bond to Landlord, Landlord, without investigating the validity of such lien, may pay or discharge the same and Tenant shall reimburse Landlord as additional rent upon demand for the amount so paid by Landlord, including Landlord’s expenses and attorneys’ fees.</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Nothing contained in this Lease shall be construed as constituting the consent or request of Landlord, express or implied, to or for the performance (on behalf of or for the benefit of Landlord) by any contractor, laborer, materialman or vendor, of any labor or services or for the furnishing of any materials for any construction, alteration, addition, repair or demolition of or to the Premises or any part thereof. Notice is hereby given that Landlord will not be liable for any labor, services or materials furnished or to be furnished to Tenant, or to anyone holding an interest in the Leased Premises or any part thereof through or under the Tenant, and that no mechanic’s or other liens for any such labor, services or materials shall attach to or affect the interest of Landlord in and to the Premises.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REPAIRS.</w:t>
      </w:r>
    </w:p>
    <w:p>
      <w:pPr>
        <w:spacing w:after="0" w:line="12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Commencing on the later of the Commencement Date or Tenant’s occupancy of the Premises, Landlord shall make all repairs necessary to maintain the plumbing, air conditioning, and electrical systems, windows, floors (excluding floor coverings), and all other items which do not constitute a part of the Premises and are installed or furnished by Landlord, except repairs of; (i) Tenant’s trade fixtures and property; (ii) installations which Tenant was obligated to make; (iii) installations which were performed by Landlord or others at Tenant’s request or expense; or (iv) were part of Tenant’s Work. Landlord shall not, however, be obligated for any of such repairs until the expiration of a reasonable period of time after receipt of written notice from Tenant that such repairs are needed. In no event shall Landlord be obligated under this Paragraph to repair any damage caused by any act, omission or negligence of the Tenant or its employees, agents, invitees, licensees, subtenants, contractors, subcontractors or assignees.</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Tenant shall take good care of the Premises and the fixtures and appurtenances therein. Tenant shall, at its sole cost and expense, repair and replace all damage or injury to the Premises and Building and to fixtures and equipment caused by Tenant or its employees, agents, invitees, licensees, subtenants, contractors, or subcontractors, or assignees, including, but not limited to, injury or damage resulting from all or any of them moving in or out of the Building or by installation or removal of furniture, fixtures or other property, which repairs and replacements shall be in quality and class equal to the original, undamaged condition. If Tenant fails to make such repairs or replacements, the same may be made by Landlord in accordance with the provisions of Paragraph 24N hereof.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74" w:right="239" w:bottom="1440" w:gutter="0" w:footer="0" w:header="0"/>
        </w:sectPr>
      </w:pPr>
    </w:p>
    <w:bookmarkStart w:id="238" w:name="page239"/>
    <w:bookmarkEnd w:id="238"/>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Landlord shall not be liable by reason of any inconvenience, injury to, or interference with Tenant’s business arising from the making of any repairs, alterations, additions or improvements in or to the Premises or the Land and Building or to any appurtenances or equipment therein. There shall be no abatement of rent because of such repairs, alterations, additions or improvements. Landlord covenants to make reasonable efforts to implement such repairs, alterations, additions or improvements in a timely and expeditious manner, and shall coordinate the timing of any such repairs, alterations, additions or improvements so as to not unreasonably interfere with Tenant’s business operations, but in no event shall Landlord be required to perform such work at times other than during Normal Business Hours.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RULES AND REGULATIONS.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Tenant shall abide by the current rules and regulations for the Building attached to this Lease and made a part hereof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by all additional reasonable rules and regulations as may be adopted by Landlord from time to time for the operation and management of the Building. If any rules and regulations are contrary to the provisions of this Lease, the provisions of this Lease shall govern. Landlord shall not be responsible for the violation of any rules and regulations of the Building by other tenants of the Building, and Landlord shall have no obligation to enforce the same against other tenants.</w:t>
      </w:r>
    </w:p>
    <w:p>
      <w:pPr>
        <w:spacing w:after="0" w:line="258" w:lineRule="exact"/>
        <w:rPr>
          <w:sz w:val="20"/>
          <w:szCs w:val="20"/>
          <w:color w:val="auto"/>
        </w:rPr>
      </w:pPr>
    </w:p>
    <w:p>
      <w:pPr>
        <w:ind w:left="280" w:hanging="272"/>
        <w:spacing w:after="0"/>
        <w:tabs>
          <w:tab w:leader="none" w:pos="2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121" w:lineRule="exact"/>
        <w:rPr>
          <w:rFonts w:ascii="Arial" w:cs="Arial" w:eastAsia="Arial" w:hAnsi="Arial"/>
          <w:sz w:val="18"/>
          <w:szCs w:val="18"/>
          <w:b w:val="1"/>
          <w:bCs w:val="1"/>
          <w:color w:val="auto"/>
        </w:rPr>
      </w:pPr>
    </w:p>
    <w:p>
      <w:pPr>
        <w:ind w:firstLine="456"/>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A. Tenant, for itself, its heirs, distributees, executors, administrators, legal representatives, successors and assigns, expressly covenants that it shall not, voluntarily, involuntarily, by operation of law or otherwise, without Landlord’s prior written consent (a) assign, convey, mortgage, pledge, encumber, hypothecate, or otherwise transfer this Lease or any interest therein; (b) allow any lien upon Tenant’s interest; (c) sublet the Premises or any part thereof; d) advertise or cause to have advertised, in any manner, the premises or any part of the premises or any interest therein, for assignment, subleasing, or otherwise transfer; and Tenant may never include a price or rental rate quote in any such advertisement; or (e) permit the use or occupancy of the Premises or any part thereof by anyone other than Tenant. Tenant shall, by notice, advise Landlord of any proposed advertising, and deliver a true and complete copy of any such proposed advertisement to Landlord which Landlord may approve or deny. Tenant shall, by notice, advise Landlord of any proposed assignment or subletting which notice shall state the name and address of the proposed assignee or subtenant, a summary of the terms of such subletting or assignment, including without limitation, all rent and/or other consideration payable thereunder or in connection therewith, and the effective date of such assignment or subletting (which shall be not less than sixty (60) days from the date such notice is given), and, concurrently with such notice, Tenant shall deliver to Landlord a true and complete copy of the proposed sublease or assignment, all other documents and instruments related thereto and the proposed assignee’s or subtenant’s most recent financial statements. Landlord shall, by notice to Tenant given within thirty (30) days of Landlord’s receipt of Tenant’s notice, grant or deny its consent thereto. In addition, Landlord shall have the right (in addition to the right of Landlord to grant or withhold its consent to the proposed assignment or subletting), to be exercised by notice to Tenant given within thirty (30) days after Landlord’s receipt of Tenant’s notice, to terminate this Lease with respect to the space therein described as of the date stated in Tenant’s notice. If Tenant’s notice shall cover all of the Premises, and Landlord shall give the aforesaid termination notice, the Term of this Lease shall expire and end on the date stated in Tenant’s notice as the effective date of assignment or subletting as fully and completely as if that date had been herein definitely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380"/>
          </w:cols>
          <w:pgMar w:left="240" w:top="274" w:right="279" w:bottom="1440" w:gutter="0" w:footer="0" w:header="0"/>
        </w:sectPr>
      </w:pPr>
    </w:p>
    <w:bookmarkStart w:id="239" w:name="page240"/>
    <w:bookmarkEnd w:id="23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fixed for the expiration of the Term. If, however, this Lease shall be cancelled pursuant to the foregoing with respect to less than the entire Premises, the Rent herein reserved shall be adjusted on the basis of the number of square feet of rentable area retained by Tenant in proportion to the number of square feet of rentable area in the entire Premises, and this Lease, as so amended, shall continue thereafter in full force and effect. If Landlord shall terminate this Lease in whole or in part as aforesaid, Landlord shall be free to deal directly with any such proposed assignee or sublessee without any responsibility or liability to Tenant on account thereof. Notwithstanding anything to the contrary contained herein, and without affecting Landlord’s rights under this Paragraph 15, no proposed subtenant or assignee shall be a current or former tenant of the Building or any other building now or hereafter owned by Landlord or any of its affiliates or related entities, including, but not limited to, 707 Grant Street, 925 Liberty Avenue, 929 Liberty Avenue, 914 Penn Avenue, 922 Penn Avenue, 925 Penn Avenue, 930 Penn Avenue, 933 Penn Avenue, 936 Penn Avenue, 437 Grant Street, 564 Forbes Avenue, 1 Penn Center West, 6 Penn Center West, 7 Penn Center West, 8 Penn Center West, 9 Penn Center West, 2225 Smallman Street, 2300 Smallman Street, 2250 Roswell Drive, 436 Seventh Avenue, or Four Allegheny Center. In addition, no advertisement by Tenant to sublease or assign the Premises shall quote a rental rate.</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Notwithstanding the foregoing, Tenant shall have the right to sublease one of the small offices within the Premises to Qrono, a small start-up from the University of Pittsburgh. Any subletting or assignment hereunder (including as set forth in the foregoing sentence) shall not release or discharge Tenant of or from any liability, whether past, present or future, under this Lease, and Tenant shall continue fully and primarily liable hereunder. The subtenant or subtenants or assignee shall agree to comply with and be bound by all of the terms, covenants, conditions, provisions and agreements of this Lease to the extent of the space sublet and assigned, and Tenant shall deliver to Landlord promptly after execution an executed copy of each such sublease or assignment of compliance by each such subtenant or assignee.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Each assignee shall assume, and be deemed to have assumed, this Lease and shall be and remain jointly and severally liable with Tenant for the performance and observance of all of the terms, covenants and conditions on the part of Tenant to be kept, performed or observed hereunder. No assignment shall be binding upon Landlord unless the assignee shall deliver to Landlord an instrument in recordable form containing a covenant of assumption by the assignee; provided, however, that the failure or refusal of such assignee to execute the same shall not release such assignee from such joint and several liability.</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Any consent by Landlord to any assignment or subletting shall not constitute a waiver of strict future compliance by Tenant of the provisions of this Section 15 or release of Tenant from its liabilities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anything to the contrary provided in this Section 15, if (a) Tenant is (i) a corporation, the shares of which are not publicly traded or</w:t>
      </w:r>
    </w:p>
    <w:p>
      <w:pPr>
        <w:spacing w:after="0" w:line="46" w:lineRule="exact"/>
        <w:rPr>
          <w:sz w:val="20"/>
          <w:szCs w:val="20"/>
          <w:color w:val="auto"/>
        </w:rPr>
      </w:pPr>
    </w:p>
    <w:p>
      <w:pPr>
        <w:ind w:firstLine="8"/>
        <w:spacing w:after="0" w:line="268" w:lineRule="auto"/>
        <w:tabs>
          <w:tab w:leader="none" w:pos="26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 partnership, and (b) during the Term of this Lease (i) the ownership of the shares of stock which constitute “control” of Tenant or (ii) more than 50% of all general partnership interests in Tenant, shall be transferred by reason of sale, transfer by operation of law or otherwise, Tenant shall notify Landlord of such transfer within five (5) days thereafter, and Landlord, at its option, may terminate this Lease by giving Tenant written notice of said termination not less than thirty (30) days after Landlord’s receipt of Tenant’s notice to it of such transfer and, if Landlord so elects to terminate this Lease, such termination shall be effective on the date specified in Landlord’s notice, but in no event shall such effective date be less than sixty (60) days prior to the date of such notice. The term “control” as used herein means the power to directly or indirectly direct or cause the direction of the management or policies of Tenant. Notwithstanding anything contained in this section to the contrary, Landlord acknowledges that Tenant may convert its ownership entity to a C corporation or otherwise assign this Lease to such C corporation and such conversion or assignment shall not require Landlord’s consent provided the current owners of Tenant retain control of such C corporation.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60"/>
          </w:cols>
          <w:pgMar w:left="240" w:top="274" w:right="299" w:bottom="1440" w:gutter="0" w:footer="0" w:header="0"/>
        </w:sectPr>
      </w:pPr>
    </w:p>
    <w:bookmarkStart w:id="240" w:name="page241"/>
    <w:bookmarkEnd w:id="240"/>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Tenant shall assign or transfer its interest in this Lease or sublet all or a portion of the Premises for rent, charges and/or other consideration (which shall include the assumption by the proposed assignee or subtenant of the obligation of Tenant to pay Rent hereunder) which in the aggregate are in excess of the Rent due and payable by Tenant under the provisions of Sections 3 and 4 of this Lease, said excess shall be paid to Landlord promptly upon receipt thereof by Tenant. In the case of any subletting of less than the entire Premises, Rent payable hereunder shall be apportioned, on a rentable square footage basis, between the portion of the Premises so sublet and the remaining portion of the Premises, and if the rent, charges and other consideration paid in connection with such subletting shall be in excess of the amount of Rent so apportioned to the portion of the Premises so sublet, said excess shall be paid to Landlord promptly upon receipt thereof by Tenant.</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sale, assignment, mortgage, transfer or subletting of this Lease which is not in compliance with the provisions of this Section 15 shall be void and of no force or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HOLDING OVER.</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Tenant retains possession of the Premises, or any part thereof, after the expiration or earlier termination of this Lease, Tenant shall pay Landlord rent at an annual rate equal to double the Rent payable for the year immediately preceding said holdover computed on a per month basis, for the period Tenant thus remains in possession, and Tenant shall also pay Landlord all damages sustained by Landlord by reason of such retention of possession. If Tenant retains possession of the Premises, or any part thereof, for thirty (30) days after the expiration or termination of this Lease, then at the sole option of Landlord expressed by written notice to Tenant, but not otherwise, such holding over shall constitute a renewal of this Lease on a month to month basis on the same terms and conditions contained herein, except that the annual Fixed Rent shall be increased to one and one-half times the highest Fixed Rent specified in Paragraph 3. The provisions of this Paragraph do not waive the Landlord’s right of re-entry or any other right hereunder.</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TENANT EXPRESSLY WAIVES TO LANDLORD THE BENEFIT TO TENANT OF 68 P.S. §250.501, AS APPROVED APRIL 6, 1951, ENTITLED “LANDLORD AND TENANT ACT OF 1951,” AS MAY BE AMENDED FROM TIME TO TIME, REQUIRING NOTICE TO QUIT UPON THE EXPIRATION OF THE TERM OF THIS LEASE OR AT THE EXPIRATION OF ANY EXTENSION OR RENEWAL THEREOF, OR UPON ANY EARLIER TERMINATION OF THIS LEASE, AS HEREIN PROVIDED. TENANT COVENANTS AND AGREES TO VACATE, REMOVE FROM AND DELIVER UP AND SURRENDER THE POSSESSION OF THE PREMISES TO LANDLORD UPON THE EXPIRATION OF THE TERM OR UPON THE EXPIRATION OF ANY EXTENSION OR RENEWAL THEREOF OR UPON ANY EARLIER TERMINATION OF THIS LEASE, AS HEREIN PROVIDED WITHOUT SUCH NOTICE.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following shall constitute a default and breach of this Lease by Tenant.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Failure of Tenant to take possession of the Premises within thirty (30) days after notice to Tenant that the same are ready for occupancy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vacation or abandonment of the Premises by Tenant.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60"/>
          </w:cols>
          <w:pgMar w:left="240" w:top="274" w:right="299" w:bottom="1440" w:gutter="0" w:footer="0" w:header="0"/>
        </w:sectPr>
      </w:pPr>
    </w:p>
    <w:bookmarkStart w:id="241" w:name="page242"/>
    <w:bookmarkEnd w:id="241"/>
    <w:p>
      <w:pPr>
        <w:ind w:right="140" w:firstLine="921"/>
        <w:spacing w:after="0" w:line="277" w:lineRule="auto"/>
        <w:tabs>
          <w:tab w:leader="none" w:pos="1158" w:val="left"/>
        </w:tabs>
        <w:numPr>
          <w:ilvl w:val="1"/>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failure by Tenant to pay, when due, any installment of Fixed Rent or additional rent hereunder or any such other sum which is required to be paid by Tenant.</w:t>
      </w:r>
    </w:p>
    <w:p>
      <w:pPr>
        <w:spacing w:after="0" w:line="170" w:lineRule="exact"/>
        <w:rPr>
          <w:rFonts w:ascii="Arial" w:cs="Arial" w:eastAsia="Arial" w:hAnsi="Arial"/>
          <w:sz w:val="18"/>
          <w:szCs w:val="18"/>
          <w:color w:val="auto"/>
        </w:rPr>
      </w:pPr>
    </w:p>
    <w:p>
      <w:pPr>
        <w:jc w:val="both"/>
        <w:ind w:right="20" w:firstLine="921"/>
        <w:spacing w:after="0" w:line="259" w:lineRule="auto"/>
        <w:tabs>
          <w:tab w:leader="none" w:pos="116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failure by Tenant to observe and perform any other provision or covenant of this Lease to be observed or performed by Tenant, where such failure continues for twenty (20) days after written notice thereof from Landlord to Tenant, provided, however, that if the nature of the default is such that the same cannot reasonably be cured within such twenty (20) day period, Tenant shall not be deemed to be in default if Tenant shall within such period commence such cure and thereafter diligently prosecutes the same to completion.</w:t>
      </w:r>
    </w:p>
    <w:p>
      <w:pPr>
        <w:spacing w:after="0" w:line="186" w:lineRule="exact"/>
        <w:rPr>
          <w:rFonts w:ascii="Arial" w:cs="Arial" w:eastAsia="Arial" w:hAnsi="Arial"/>
          <w:sz w:val="18"/>
          <w:szCs w:val="18"/>
          <w:color w:val="auto"/>
        </w:rPr>
      </w:pPr>
    </w:p>
    <w:p>
      <w:pPr>
        <w:ind w:right="40" w:firstLine="921"/>
        <w:spacing w:after="0" w:line="297" w:lineRule="auto"/>
        <w:tabs>
          <w:tab w:leader="none" w:pos="1158"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filing of a petition by or against Tenant for adjudication as a bankrupt or insolvent or for its reorganization or for the appointment pursuant to any local, state or federal bankruptcy or insolvency law of receiver or trustee of Tenant’s property; or an assignment by Tenant for the benefit of creditors; or the taking possession of the property of Tenant by any local, state or federal government officer or agency or court-appointed official for the dissolution or liquidation of Tenant or for the operation, either temporarily or permanently, of Tenant’s business; provided, however, that if any such action is commenced against Tenant the same shall not constitute a default if Tenant causes the same to be dismissed within sixty (60) days after the filing of same.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If Tenant should default in the performance of any covenant or agreement of this Lease more than three (3) times in any period of twelve</w:t>
      </w:r>
    </w:p>
    <w:p>
      <w:pPr>
        <w:spacing w:after="0" w:line="46" w:lineRule="exact"/>
        <w:rPr>
          <w:rFonts w:ascii="Arial" w:cs="Arial" w:eastAsia="Arial" w:hAnsi="Arial"/>
          <w:sz w:val="16"/>
          <w:szCs w:val="16"/>
          <w:color w:val="auto"/>
        </w:rPr>
      </w:pPr>
    </w:p>
    <w:p>
      <w:pPr>
        <w:ind w:right="140" w:firstLine="8"/>
        <w:spacing w:after="0" w:line="295" w:lineRule="auto"/>
        <w:tabs>
          <w:tab w:leader="none" w:pos="34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months, then, notwithstanding that such defaults shall have each been timely cured, any further defaults shall be deemed to be deliberate and Landlord thereafter may give written notice to Tenant specifying such default and stating that this Lease and the Term of this Lease hereby demised shall expire and terminate on the date specified in such notice, which shall be at least ten (10) days after the giving of such notice, and upon the date specified in such notice this Lease and the Term of this Lease and all rights of Tenant under this Lease, whether or not heretofore exercised, shall expire and terminate.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REMEDIES.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any such default set forth above:</w:t>
      </w:r>
    </w:p>
    <w:p>
      <w:pPr>
        <w:spacing w:after="0" w:line="225" w:lineRule="exact"/>
        <w:rPr>
          <w:sz w:val="20"/>
          <w:szCs w:val="20"/>
          <w:color w:val="auto"/>
        </w:rPr>
      </w:pPr>
    </w:p>
    <w:p>
      <w:pPr>
        <w:ind w:right="240" w:firstLine="921"/>
        <w:spacing w:after="0" w:line="277" w:lineRule="auto"/>
        <w:tabs>
          <w:tab w:leader="none" w:pos="11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Landlord may accelerate all Fixed Rent and additional rent due through the expiration of the Term and declare the same to be immediately due and payable;</w:t>
      </w:r>
    </w:p>
    <w:p>
      <w:pPr>
        <w:spacing w:after="0" w:line="170" w:lineRule="exact"/>
        <w:rPr>
          <w:rFonts w:ascii="Arial" w:cs="Arial" w:eastAsia="Arial" w:hAnsi="Arial"/>
          <w:sz w:val="18"/>
          <w:szCs w:val="18"/>
          <w:color w:val="auto"/>
        </w:rPr>
      </w:pPr>
    </w:p>
    <w:p>
      <w:pPr>
        <w:ind w:firstLine="921"/>
        <w:spacing w:after="0" w:line="308" w:lineRule="auto"/>
        <w:tabs>
          <w:tab w:leader="none" w:pos="116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determining the amount of any future payments due Landlord due to increases in Taxes and Operating Expenses, Landlord may make such determination based upon the amount of Taxes and Operating Expenses paid by Tenant for the full year immediately prior to such default;</w:t>
      </w:r>
    </w:p>
    <w:p>
      <w:pPr>
        <w:spacing w:after="0" w:line="146" w:lineRule="exact"/>
        <w:rPr>
          <w:rFonts w:ascii="Arial" w:cs="Arial" w:eastAsia="Arial" w:hAnsi="Arial"/>
          <w:sz w:val="17"/>
          <w:szCs w:val="17"/>
          <w:color w:val="auto"/>
        </w:rPr>
      </w:pPr>
    </w:p>
    <w:p>
      <w:pPr>
        <w:ind w:right="20" w:firstLine="921"/>
        <w:spacing w:after="0" w:line="272" w:lineRule="auto"/>
        <w:tabs>
          <w:tab w:leader="none" w:pos="115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Landlord, at its option, may serve notice upon Tenant that this Lease and the then unexpired Term hereof shall cease and expire and become absolutely void on the date specified in such notice, to be not less than five (5) days after the date of such notice without any right on the part of the Tenant to save the forfeiture by payment of any sum due or by the performance of any term, provision, covenant, agreement or condition broken, and, thereupon and at the expiration of the time limit in such notice, this Lease and the Term hereof granted, as well as the right, title and interest of the Tenant hereunder, shall wholly cease and expire and become void in the same manner and with the same force and effect (except as to Tenant’s liability) as if the date fixed in such notice were the date of expiration of the Term. Thereupon, Tenant shall immediately quit and surrender to Landlord the Premises, and Landlord may enter into and repossess the Premises by summary proceedings, detainer, ejectment or otherwise and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60"/>
          </w:cols>
          <w:pgMar w:left="240" w:top="274" w:right="299" w:bottom="1440" w:gutter="0" w:footer="0" w:header="0"/>
        </w:sectPr>
      </w:pPr>
    </w:p>
    <w:bookmarkStart w:id="242" w:name="page243"/>
    <w:bookmarkEnd w:id="242"/>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remove all occupants thereof and, at Landlord’s option, any property thereon without being liable to indictment prosecution, or damages therefor. No such expiration or termination of this Lease shall relieve Tenant of its liability and obligations under this Lease including the obligation pay Fixed Rent and additional rent through the date of expiration of the Term, whether or not the Premises shall be relet;</w:t>
      </w:r>
    </w:p>
    <w:p>
      <w:pPr>
        <w:spacing w:after="0" w:line="181" w:lineRule="exact"/>
        <w:rPr>
          <w:sz w:val="20"/>
          <w:szCs w:val="20"/>
          <w:color w:val="auto"/>
        </w:rPr>
      </w:pPr>
    </w:p>
    <w:p>
      <w:pPr>
        <w:ind w:firstLine="921"/>
        <w:spacing w:after="0" w:line="289" w:lineRule="auto"/>
        <w:tabs>
          <w:tab w:leader="none" w:pos="116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Landlord may, at any time after the occurrence of any event of default, re-enter and repossess the Premises and/or any part thereof and attempt in its own name, as agent for Tenant if this Lease not be terminated, or in its own behalf if this Lease be terminated, to relet all or any part of such Premises for and upon such terms and to such persons, firms or corporations and for such period or periods as Landlord, in its sole discretion, shall determine, including for a term extending beyond the expiration date of the Term; and Landlord shall not be required to accept any tenant offered by Tenant or observe any instruction given by Tenant about such reletting or do any act or exercise any care or diligence with respect to such reletting, or to the mitigation of damages. For the purposes of such reletting, Landlord may decorate or make repairs, changes, alterations or additions in or to the Premises to the extent deemed by Landlord desirable or convenient; and the cost of such decoration, repairs, changes, alterations or additions shall be charged to and be payable by Tenant as additional rent hereunder, as well as any reasonable brokerage and legal fees expended by Landlord; and any sums collected by Landlord from any new tenant obtained on account of Tenant shall be credited against the balance of the Rent due hereunder as aforesaid;</w:t>
      </w:r>
    </w:p>
    <w:p>
      <w:pPr>
        <w:spacing w:after="0" w:line="166" w:lineRule="exact"/>
        <w:rPr>
          <w:rFonts w:ascii="Arial" w:cs="Arial" w:eastAsia="Arial" w:hAnsi="Arial"/>
          <w:sz w:val="16"/>
          <w:szCs w:val="16"/>
          <w:color w:val="auto"/>
        </w:rPr>
      </w:pPr>
    </w:p>
    <w:p>
      <w:pPr>
        <w:ind w:right="200" w:firstLine="921"/>
        <w:spacing w:after="0" w:line="264" w:lineRule="auto"/>
        <w:tabs>
          <w:tab w:leader="none" w:pos="11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Landlord shall have the right of injunction, in the event of a breach or threatened breach by Tenant of any of the agreements, conditions, covenants or terms hereof, to restrain the same and the right to invoke any remedy allowed by law or in equity, whether or not other remedies, indemnity or reimbursements are herein provided; and</w:t>
      </w:r>
    </w:p>
    <w:p>
      <w:pPr>
        <w:spacing w:after="0" w:line="181" w:lineRule="exact"/>
        <w:rPr>
          <w:rFonts w:ascii="Arial" w:cs="Arial" w:eastAsia="Arial" w:hAnsi="Arial"/>
          <w:sz w:val="18"/>
          <w:szCs w:val="18"/>
          <w:color w:val="auto"/>
        </w:rPr>
      </w:pPr>
    </w:p>
    <w:p>
      <w:pPr>
        <w:ind w:right="100" w:firstLine="921"/>
        <w:spacing w:after="0" w:line="269" w:lineRule="auto"/>
        <w:tabs>
          <w:tab w:leader="none" w:pos="113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WHEN THIS LEASE SHALL BE DETERMINED BY CONDITION BROKEN, EITHER DURING THE ORIGINAL TERM OF THIS LEASE OR ANY RENEWAL THEREOF, AND ALSO WHEN AS SOON AS THE TERM HEREBY CREATED EXPIRES OR IS EARLIER TERMINATED, IT SHALL BE LAWFUL FOR ANY ATTORNEY TO APPEAR AS ATTORNEY FOR THE TENANT AND TO ENTER IN ANY COMPETENT COURT AN AMICABLE ACTION AND JUDGMENT IN EJECTMENT AGAINST TENANT AND ALL PERSONS OR ENTITIES CLAIMING UNDER TENANT FOR THE RECOVERY BY LANDLORD OF POSSESSION OF THE PREMISES, FOR WHICH THIS LEASE SHALL BE SUFFICIENT WARRANT; WHEREUPON, IF LANDLORD SO DESIRES, A WRIT OF POSSESSION MAY ISSUE FORTHWITH WITHOUT ANY PRIOR WRIT OR PROCEEDING WHATSOEVER, AND PROVIDED THAT, IF FOR ANY REASON AFTER SUCH ACTION SHALL HAVE BEEN COMMENCED THE SAME SHALL BE DETERMINED AND THE POSSESSION OF THE PREMISES HEREBY DEMISED SHALL REMAIN IN OR BE RESTORED TO TENANT, LANDLORD SHALL HAVE THE RIGHT, UPON ANY SUBSEQUENT DEFAULT OR DEFAULTS OR UPON THE TERMINATION OR EXPIRATION OF THIS LEASE, TO BRING ONE OR MORE SUCH AMICABLE ACTION OR ACTIONS TO RECOVER POSSESSION OF THE SAID PREMISES. IT SHALL NOT BE NECESSARY TO FILE THE ORIGINAL LEASE AS A WARRANT OF ATTORNEY, ANY RULE OF COURT, CUSTOM OR PRACTICE TO THE CONTRARY NOTWITHSTANDING; AND</w:t>
      </w:r>
    </w:p>
    <w:p>
      <w:pPr>
        <w:spacing w:after="0" w:line="179" w:lineRule="exact"/>
        <w:rPr>
          <w:rFonts w:ascii="Arial" w:cs="Arial" w:eastAsia="Arial" w:hAnsi="Arial"/>
          <w:sz w:val="17"/>
          <w:szCs w:val="17"/>
          <w:color w:val="auto"/>
        </w:rPr>
      </w:pPr>
    </w:p>
    <w:p>
      <w:pPr>
        <w:ind w:right="160" w:firstLine="921"/>
        <w:spacing w:after="0" w:line="257" w:lineRule="auto"/>
        <w:tabs>
          <w:tab w:leader="none" w:pos="116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rights and remedies given to Landlord in this Lease are distinct, separate and cumulative remedies; and not one of them, whether or not exercised by Landlord, shall be deemed to be in exclusion of any of the others, and the right to confess judgment in ejectment given in (f) above may be exercised concurrently and the power of attorney to confess judgment shall not be exhausted by a single confession in each case, but shall be exercised singularly or together from time to time and as often as may be necessary to protect the rights of Landlord and shall survive any expiration or termination of this Lease.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00"/>
          </w:cols>
          <w:pgMar w:left="240" w:top="274" w:right="259" w:bottom="1440" w:gutter="0" w:footer="0" w:header="0"/>
        </w:sectPr>
      </w:pPr>
    </w:p>
    <w:bookmarkStart w:id="243" w:name="page244"/>
    <w:bookmarkEnd w:id="243"/>
    <w:p>
      <w:pPr>
        <w:ind w:firstLine="921"/>
        <w:spacing w:after="0" w:line="277" w:lineRule="auto"/>
        <w:tabs>
          <w:tab w:leader="none" w:pos="11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determining of the Term, or the receipt of Rent after default, or after judgment or after execution shall not deprive Landlord of other actions against Tenant for possession or for Fixed Rent or additional rent or other charges or expenses or for damages.</w:t>
      </w:r>
    </w:p>
    <w:p>
      <w:pPr>
        <w:spacing w:after="0" w:line="17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TENANT UNDERSTANDS IT IS WAIVING IMPORTANT LEGAL RIGHTS BY AGREEING TO THIS PARAGRAPH 18 AND DOES SO IN THIS COMMERCIAL, NON-RESIDENTIAL TRANSACTION KNOWINGLY AND VOLUNTARILY AND AFTER ASCERTAINING THE LEGAL EFFECT 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CONDITION OF PREMISES.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It is agreed that Tenant has examined the Premises prior to the execution of this Lease and is satisfied with the physical condition thereof, accepts delivery of the Premises in its current “as-is, where-is” condition, and further agrees that no representation has been made by Landlord or Landlord’s agent(s) as to the condition or repair of the Premises and there has been no agreement to redecorate, alter, repair or improve the Premises either before or after the execution of this Lease.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ASSIGNMENT BY LANDLORD.</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Landlord may sell the Building or Landlord’s interest therein or assign its interest in this Lease, or any part thereof, in the exercise of its sole discretion, and upon the written request of Landlord, Tenant shall acknowledge and consent to any such assignment in writing; provided, however, that Tenant’s consent shall not be required for any such sale or assignment by Landlord. In the event of any sale or assignment, Landlord shall be entirely freed and relieved of all agreements and obligations of Landlord hereunder accruing or to be performed after the date of such sale or assignment, except that Tenant’s lease terms and conditions and extensions thereof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notices and approvals to be given by one party to the other party under this Lease shall be given in writing, mailed or delivered as follows:</w:t>
      </w:r>
    </w:p>
    <w:p>
      <w:pPr>
        <w:spacing w:after="0" w:line="237" w:lineRule="exact"/>
        <w:rPr>
          <w:sz w:val="20"/>
          <w:szCs w:val="20"/>
          <w:color w:val="auto"/>
        </w:rPr>
      </w:pPr>
    </w:p>
    <w:p>
      <w:pPr>
        <w:ind w:left="1160" w:hanging="239"/>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Landlord at the location(s) set forth in Paragraph 1B, or to such other addresses designated by notice to Tenant.</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Except as otherwise provided in this Lease, to Tenant at the location set forth in Paragraph 1C until Tenant takes possession of the Premises, and thereafter at the Premises, or to such other address designated by notice to Landlord.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Notices shall be delivered by hand, national overnight carrier, or by United States certified or registered mail, postage prepaid, return receipt requested.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Notices shall be deemed to have been given upon delivery thereof, or if sent by United States mails, three (3) days after posting.</w:t>
      </w:r>
    </w:p>
    <w:p>
      <w:pPr>
        <w:spacing w:after="0" w:line="211" w:lineRule="exact"/>
        <w:rPr>
          <w:sz w:val="20"/>
          <w:szCs w:val="20"/>
          <w:color w:val="auto"/>
        </w:rPr>
      </w:pPr>
    </w:p>
    <w:p>
      <w:pPr>
        <w:ind w:right="20" w:firstLine="921"/>
        <w:spacing w:after="0" w:line="264" w:lineRule="auto"/>
        <w:tabs>
          <w:tab w:leader="none" w:pos="11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Whenever Landlord is required or desires to send any notice or other communication to Tenant under or pursuant to this Lease, it is understood and agreed that such notice or communication, if sent by Landlord’s agent (of whose agency Landlord shall have advised Tenant), for all purposes shall be deemed to have been sent by Landlord.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40" w:top="274" w:right="2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QUIET POSSESSION.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So long as Tenant shall observe and perform the covenants and agreements binding on it hereunder, Tenant shall at all times during the Term peacefully and quietly have and enjoy the possession of the Premises without any encumbrance or hindrance by, from or through Landlord, its successors or assigns, subject to the provisions of this Lease.</w:t>
      </w:r>
    </w:p>
    <w:p>
      <w:pPr>
        <w:spacing w:after="0" w:line="285" w:lineRule="exact"/>
        <w:rPr>
          <w:sz w:val="20"/>
          <w:szCs w:val="20"/>
          <w:color w:val="auto"/>
        </w:rPr>
      </w:pPr>
    </w:p>
    <w:p>
      <w:pPr>
        <w:ind w:left="280" w:hanging="272"/>
        <w:spacing w:after="0"/>
        <w:tabs>
          <w:tab w:leader="none" w:pos="2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AS TO USE.</w:t>
      </w:r>
    </w:p>
    <w:p>
      <w:pPr>
        <w:spacing w:after="0" w:line="121" w:lineRule="exact"/>
        <w:rPr>
          <w:rFonts w:ascii="Arial" w:cs="Arial" w:eastAsia="Arial" w:hAnsi="Arial"/>
          <w:sz w:val="18"/>
          <w:szCs w:val="18"/>
          <w:b w:val="1"/>
          <w:bCs w:val="1"/>
          <w:color w:val="auto"/>
        </w:rPr>
      </w:pPr>
    </w:p>
    <w:p>
      <w:pPr>
        <w:ind w:right="160" w:firstLine="464"/>
        <w:spacing w:after="0" w:line="264" w:lineRule="auto"/>
        <w:tabs>
          <w:tab w:leader="none" w:pos="6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Tenant shall occupy and use the Premises for general office purposes and for basic scientific research and related scientific activities. Tenant shall not occupy or use the Premises or permit the Premises to be occupied or used for any purpose, act or thing which is in violation of any public law, ordinance or governmental regulation or which may be dangerous to persons or property.</w:t>
      </w:r>
    </w:p>
    <w:p>
      <w:pPr>
        <w:spacing w:after="0" w:line="181" w:lineRule="exact"/>
        <w:rPr>
          <w:rFonts w:ascii="Arial" w:cs="Arial" w:eastAsia="Arial" w:hAnsi="Arial"/>
          <w:sz w:val="18"/>
          <w:szCs w:val="18"/>
          <w:color w:val="auto"/>
        </w:rPr>
      </w:pPr>
    </w:p>
    <w:p>
      <w:pPr>
        <w:ind w:right="100" w:firstLine="464"/>
        <w:spacing w:after="0" w:line="259" w:lineRule="auto"/>
        <w:tabs>
          <w:tab w:leader="none" w:pos="663"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Tenant shall not advertise the business, profession or activities of Tenant conducted in the Building in any manner which violates the letter or spirit of any code of ethics adopted by any recognized association or organization pertaining to Tenant’s business, profession or activities, and shall not use the name of the Building for any purposes other than that of the business address of the Tenant, and shall never use any picture or likeness of the Building in any circulars, notices, advertisements or correspondence without the Landlord’s consent.</w:t>
      </w:r>
    </w:p>
    <w:p>
      <w:pPr>
        <w:spacing w:after="0" w:line="290" w:lineRule="exact"/>
        <w:rPr>
          <w:rFonts w:ascii="Arial" w:cs="Arial" w:eastAsia="Arial" w:hAnsi="Arial"/>
          <w:sz w:val="18"/>
          <w:szCs w:val="18"/>
          <w:color w:val="auto"/>
        </w:rPr>
      </w:pPr>
    </w:p>
    <w:p>
      <w:pPr>
        <w:ind w:left="280" w:hanging="272"/>
        <w:spacing w:after="0"/>
        <w:tabs>
          <w:tab w:leader="none" w:pos="2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right="300" w:firstLine="464"/>
        <w:spacing w:after="0" w:line="277" w:lineRule="auto"/>
        <w:tabs>
          <w:tab w:leader="none" w:pos="67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Lease Binding. This Lease shall be binding upon and inure to the benefit of Landlord and Tenant and their respective heirs, legal representatives, successors and permitted assigns.</w:t>
      </w:r>
    </w:p>
    <w:p>
      <w:pPr>
        <w:spacing w:after="0" w:line="170" w:lineRule="exact"/>
        <w:rPr>
          <w:rFonts w:ascii="Arial" w:cs="Arial" w:eastAsia="Arial" w:hAnsi="Arial"/>
          <w:sz w:val="18"/>
          <w:szCs w:val="18"/>
          <w:color w:val="auto"/>
        </w:rPr>
      </w:pPr>
    </w:p>
    <w:p>
      <w:pPr>
        <w:ind w:right="280" w:firstLine="464"/>
        <w:spacing w:after="0" w:line="277" w:lineRule="auto"/>
        <w:tabs>
          <w:tab w:leader="none" w:pos="66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Payments Due. All amounts owed to Landlord hereunder, for which the date of payment is not expressly fixed herein, shall be paid within twenty (20) days from the date Landlord renders statements of account therefor.</w:t>
      </w:r>
    </w:p>
    <w:p>
      <w:pPr>
        <w:spacing w:after="0" w:line="170" w:lineRule="exact"/>
        <w:rPr>
          <w:rFonts w:ascii="Arial" w:cs="Arial" w:eastAsia="Arial" w:hAnsi="Arial"/>
          <w:sz w:val="18"/>
          <w:szCs w:val="18"/>
          <w:color w:val="auto"/>
        </w:rPr>
      </w:pPr>
    </w:p>
    <w:p>
      <w:pPr>
        <w:ind w:firstLine="464"/>
        <w:spacing w:after="0" w:line="276" w:lineRule="auto"/>
        <w:tabs>
          <w:tab w:leader="none" w:pos="667" w:val="left"/>
        </w:tabs>
        <w:numPr>
          <w:ilvl w:val="1"/>
          <w:numId w:val="235"/>
        </w:numPr>
        <w:rPr>
          <w:rFonts w:ascii="Arial" w:cs="Arial" w:eastAsia="Arial" w:hAnsi="Arial"/>
          <w:sz w:val="17"/>
          <w:szCs w:val="17"/>
          <w:color w:val="auto"/>
        </w:rPr>
      </w:pPr>
      <w:r>
        <w:rPr>
          <w:rFonts w:ascii="Arial" w:cs="Arial" w:eastAsia="Arial" w:hAnsi="Arial"/>
          <w:sz w:val="17"/>
          <w:szCs w:val="17"/>
          <w:color w:val="auto"/>
        </w:rPr>
        <w:t>Eminent Domain. In the event that all or a substantial portion of the Premises or the Building are taken by eminent domain so that the Premises cannot be reasonably used by Tenant for the purposes for which they are demised or, in the sole judgment of Landlord, so that the Building cannot be operated as an integral unit (whether or not the Premises are affected), then either party may terminate this Lease by giving written notice of termination to the other party within thirty (30) days after such taking. In the event of any taking by eminent domain, the entire award shall be paid to and retained by Landlord excepting, however, that Tenant may receive therefrom any portion paid on account of Tenant’s relocation expenses.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40" w:firstLine="464"/>
        <w:spacing w:after="0" w:line="264" w:lineRule="auto"/>
        <w:tabs>
          <w:tab w:leader="none" w:pos="65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Rentable Square Feet. The term “rentable square feet” of the Premises and the Building as used herein has been determined by the mutual agreement of the parties to mean the amount shown in Paragraphs 1.J., 1.K., 2 and 4.A.(ii) of this Lease, and includes an allocation of common area space in the Building.</w:t>
      </w:r>
    </w:p>
    <w:p>
      <w:pPr>
        <w:spacing w:after="0" w:line="181" w:lineRule="exact"/>
        <w:rPr>
          <w:rFonts w:ascii="Arial" w:cs="Arial" w:eastAsia="Arial" w:hAnsi="Arial"/>
          <w:sz w:val="18"/>
          <w:szCs w:val="18"/>
          <w:color w:val="auto"/>
        </w:rPr>
      </w:pPr>
    </w:p>
    <w:p>
      <w:pPr>
        <w:ind w:right="180" w:firstLine="464"/>
        <w:spacing w:after="0" w:line="259" w:lineRule="auto"/>
        <w:tabs>
          <w:tab w:leader="none" w:pos="63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Entire Agreement. This Lease and the Exhibits attached hereto contain the entire agreement between Landlord and Tenant concerning the Premises and there are no other agreements, either oral or written. Any agreement hereafter made shall be ineffective to change, modify, discharge or effect an abandonment of this Lease in whole or in part, unless such agreement is in writing and signed by the party against whom enforcement of the change, modification, discharge or abandonment is sought.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70" w:right="239" w:bottom="1440" w:gutter="0" w:footer="0" w:header="0"/>
        </w:sectPr>
      </w:pPr>
    </w:p>
    <w:bookmarkStart w:id="245" w:name="page246"/>
    <w:bookmarkEnd w:id="245"/>
    <w:p>
      <w:pPr>
        <w:ind w:right="1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 Offer. The execution of this Lease by Tenant and delivery of same to Landlord or its agent does not constitute a reservation of or option for the Premises or an agreement to enter into a Lease and this Lease shall become effective only if and when Landlord executes and delivers same to Tenant; provided, however, that the execution and delivery by Tenant of this Lease to Landlord or its agent shall constitute an irrevocable offer by Tenant to lease the Premises on the terms and condition therein contained, which offer may not be withdrawn or revoked for fifteen (15) days after such execution and delivery.</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H. No Waiver. No receipt of money by Landlord from Tenant after the termination of this Lease or Tenant’s right of possession of the Premises shall reinstate, continue or extend the Term. The failure or delay on the part of either party to enforce or exercise at any time any of the provisions, rights or remedies in this Lease shall in no way be construed to be a waiver thereof, nor shall same in any way affect the validity of this Lease or any part hereof, or the right of the party to hereafter enforce each and every such provision, right or remedy. No waiver of any breach of this Lease shall be held to be a waiver of any other or subsequent breach. The receipt by Landlord of rental at a time when the rent is in default under this Lease shall not be construed as a waiver of such default. The receipt by Landlord of a lesser amount than the rent due shall not be construed to be other than a payment on account of the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No act or thing done by Landlord or Landlord’s agents or employees during the term of this Lease shall be deemed an acceptance of a surrender of the Premises, and no agreement to accept such a surrender shall be valid unless in writing and signed by Landlord.</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 Broker. The parties mutually represents that, except for the broker, if any, specified in Paragraph 1.P., neither party has dealt with any real estate broker, sales person, or finder in connection with this Lease. Each party hereby agrees to indemnify and hold harmless the other party, and its agents and employees, from and against any and all liabilities and claims for commissions and fees arising out of a breach of the foregoing representation. Unless otherwise agreed by the parties, Landlord shall be responsible for the payment of all commissions to the broker, if any, specified in Paragraph 1.P., based upon Landlord’s separate agreement with such broker.</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J. Force Majeure. Landlord shall not be deemed in default with respect to any of the terms, covenants and conditions of this Lease on Landlord’s part to be performed and Tenant’s obligations hereunder, including the obligation to pay Rent, shall not be affected if Landlord fails to timely perform same and such failure is the result in whole or in part due to any strike, lockout, labor trouble (whether legal or illegal), civil disorder, inability to procure material, failure of power, restrictive governmental laws and regulations, riots, insurrection, war, fuel shortages, accidents, casualties, Acts of God, acts caused directly or indirectly by Tenant (or Tenant’s agents, employees or invitees) or any other cause beyond the reasonable control of Landlord.</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K. Headings and Captions. Paragraph and other captions in this Lease are inserted only as a matter of convenience and in no way define, limit, construe or describe the scope or intent of such Paragraphs or portions thereof.</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L. Choice of Law. This Lease shall be construed in accordance with the laws of the Commonwealth of Pennsylvania, without regard to conflicts of law principles.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74" w:right="239" w:bottom="1440" w:gutter="0" w:footer="0" w:header="0"/>
        </w:sectPr>
      </w:pPr>
    </w:p>
    <w:bookmarkStart w:id="246" w:name="page247"/>
    <w:bookmarkEnd w:id="246"/>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 Limitation of Liability. Notwithstanding anything contained in this Lease to the contrary, the liability of Landlord under this Lease shall be limited to its interest in the Building and Tenant agrees that no judgment against Landlord under this Lease may be satisfied against any property or assets of Landlord other than the interest of Landlord in the Building.</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 Landlord May Perform Tenant’s Obligations. If Tenant fails to timely perform any of its duties under this Lease, Landlord shall have the right (but not the obligation), after the expiration of any grace period elsewhere under this Lease expressly granted to Tenant for the performance of such duty, to perform such duty on behalf and at the expense of Tenant without further prior notice to Tenant, and all sums expended or expenses incurred by Landlord in performing such duty, along with a fifteen percent (15%) service charge, shall be deemed to be additional rent under this Lease and shall be due and payable upon demand by Landlord.</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 Assignment of Landlord’s Interest. Landlord’s obligations hereunder shall be binding upon Landlord only for the period of time that Landlord is in ownership of the Building; and, upon termination of that ownership, Tenant shall look solely to Landlord’s successor in interest in the Building for the satisfaction of each and every obligation of Landlord hereunder.</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 Remaining Provisions. If any provision of this Lease shall be held to be invalid, void or unenforceable, the remaining provisions hereof shall in no way be affected or impaired and such remaining provisions shall remain in full force and effect.</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Q. Waiver of Trial by Jury. It is mutually agreed by and between Landlord and Tenant that the respective parties hereto shall and they hereby do waive trial by jury in any action, proceeding or counterclaim brought by either of the parties hereto against the other on any matters whatsoever arising out of or in any way connected with this Lease, including but not limited to the relationship of Landlord and Tenant, Tenant’s occupancy of the Premises, and any emergency statutory or any other remedy.</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R. Taxes on Tenant’s Property. Tenant covenants and agrees to pay promptly when due all taxes, if any, assessed against Tenant’s fixtures, furnishings, and equipment of any kind or nature placed in or on the Premises. Any such taxes, if paid by Landlord, shall be due and payable by Tenant as additional rent within ten (10) days after a billing therefor is rendered to Tenant.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 Fees. In the event it becomes necessary for Landlord to institute legal proceedings against Tenant for breach of any of the covenants or conditions contained in this Lease, Tenant agrees to pay all costs, charges and expenses, including fees of attorneys, agents and others retained or employed by Landlord in enforcing the obligations and undertakings of Tenant to Landlord, and all costs, charges and expenses incurred in any lawsuit, negotiation or transaction in which Tenant causes Landlord to become involved or concerned.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 Intentionally Omitted.</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 Landlord Consent. In any instance in which Landlord is required by any provision of this Lease or applicable law not unreasonably to withhold consent or approval, Tenant’s sole remedy shall be an action for specific performance or injunction requiring Landlord to grant such consent or approval, all other remedies which would otherwise be available being hereby waived by Tenant. In any such action, the winning party shall be entitled to reimbursement of its reasonable attorneys’ fees from the losing party.</w:t>
      </w:r>
    </w:p>
    <w:p>
      <w:pPr>
        <w:spacing w:after="0" w:line="18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V. Nothing contained in this Lease shall empower Tenant to do any act which can, shall or may encumber the interest or title of Landlord in and to the Building or the Land upon which the Building is situated. Tenant may not record this Lease, any memorandum of this Lease or any instrument affecting the Building or the Land upon which the Building is situated in any public office without Landlord’s prior written consent.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340"/>
          </w:cols>
          <w:pgMar w:left="240" w:top="274" w:right="319" w:bottom="1440" w:gutter="0" w:footer="0" w:header="0"/>
        </w:sectPr>
      </w:pPr>
    </w:p>
    <w:bookmarkStart w:id="247" w:name="page248"/>
    <w:bookmarkEnd w:id="247"/>
    <w:p>
      <w:pPr>
        <w:ind w:left="280" w:hanging="272"/>
        <w:spacing w:after="0"/>
        <w:tabs>
          <w:tab w:leader="none" w:pos="2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[Intentionally Omitted].</w:t>
      </w:r>
    </w:p>
    <w:p>
      <w:pPr>
        <w:spacing w:after="0" w:line="117" w:lineRule="exact"/>
        <w:rPr>
          <w:rFonts w:ascii="Arial" w:cs="Arial" w:eastAsia="Arial" w:hAnsi="Arial"/>
          <w:sz w:val="18"/>
          <w:szCs w:val="18"/>
          <w:b w:val="1"/>
          <w:bCs w:val="1"/>
          <w:color w:val="auto"/>
        </w:rPr>
      </w:pPr>
    </w:p>
    <w:p>
      <w:pPr>
        <w:ind w:left="280" w:hanging="272"/>
        <w:spacing w:after="0"/>
        <w:tabs>
          <w:tab w:leader="none" w:pos="2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SUBSTANCES.</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67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Except for products used in the normal course of office use and scientific research consistent with and in accordance to all applicable laws and regulations, Tenant shall not cause or allow the generation, treatment, storage, or disposal of Hazardous Substances on or near the Premises or the Building. “Hazardous Substances” shall mean (i) any hazardous substance as that term is defined in the Comprehensive Environmental Response, Compensation and Liability Act (“CERCLA”), 42 U.S.C. 9601 et seq., as amended, (ii) any hazardous waste or hazardous substance as those terms are defined in any local, state or federal law, regulation and ordinance applicable to the Premises or the Building, or (iii) petroleum, including crude oil or any fraction thereof. In the event Tenant uses any Hazardous Substances, Tenant shall dispose of such substances in accordance with all applicable federal, state and local laws, regulations and ordinances.</w:t>
      </w:r>
    </w:p>
    <w:p>
      <w:pPr>
        <w:spacing w:after="0" w:line="189" w:lineRule="exact"/>
        <w:rPr>
          <w:rFonts w:ascii="Arial" w:cs="Arial" w:eastAsia="Arial" w:hAnsi="Arial"/>
          <w:sz w:val="18"/>
          <w:szCs w:val="18"/>
          <w:color w:val="auto"/>
        </w:rPr>
      </w:pPr>
    </w:p>
    <w:p>
      <w:pPr>
        <w:ind w:right="80" w:firstLine="464"/>
        <w:spacing w:after="0" w:line="257" w:lineRule="auto"/>
        <w:tabs>
          <w:tab w:leader="none" w:pos="66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Tenant agrees to indemnify, defend and hold harmless Landlord, its employees, agents, successors, and assigns, from and against any and all damage, claim, liability or loss, including reasonable attorneys’ and other fees, arising out of or in any way connected to the generation, treatment, storage or disposal of Hazardous Substances by Tenant, its employees, agents, contractors, or invitees, on or near the Premises or the Building. Such duty of indemnification shall include, but to be limited to, damage, liability, or loss pursuant to all federal, state and local environment laws, rules and ordinances, strict liability and common law.</w:t>
      </w:r>
    </w:p>
    <w:p>
      <w:pPr>
        <w:spacing w:after="0" w:line="292" w:lineRule="exact"/>
        <w:rPr>
          <w:rFonts w:ascii="Arial" w:cs="Arial" w:eastAsia="Arial" w:hAnsi="Arial"/>
          <w:sz w:val="18"/>
          <w:szCs w:val="18"/>
          <w:color w:val="auto"/>
        </w:rPr>
      </w:pPr>
    </w:p>
    <w:p>
      <w:pPr>
        <w:ind w:left="280" w:hanging="272"/>
        <w:spacing w:after="0"/>
        <w:tabs>
          <w:tab w:leader="none" w:pos="2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Tenant agrees that it shall maintain in confidence and shall not divulge to any third party (except as required by law) any of the terms, covenants and conditions of this Lease, including without limitation, any information related to the rental rate, the length of the Term, any renewal, termination expansion, contraction or similar options, if any, or the amount of any free rent, improvement allowance or other concessions granted to Tenant by Landlord under this Lease. Tenant further agrees to take commercially reasonable precautions to prevent the unauthorized disclosure of any of such information to any third parties. Tenant’s obligations under this Section 27 shall survive termination of this Lease.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OFAC AND ANTI-MONEY LAUNDERING COMPLIANCE CERTIFICATIONS.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Tenant hereby represents, certifies and warrants to Landlord as follows: (i) Tenant is not named by, and is not acting, directly or indirectly, for or on behalf of any person, group, entity or nation named by, any Executive Order, including Executive Order 13224, or the United States Treasury Department as a terrorist, “Specially Designated National and Blocked Person,” or other banned or blocked person, entity, nation or transaction pursuant to any law, order, rule or regulation that is enacted, enforced or administered by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(ii) Tenant is not engaged in this transaction, directly or indirectly, for or on behalf of, or instigating or facilitating this transaction, directly or indirectly on behalf of, any such person, group, entity or nation; and (iii) none of the proceeds used to pay Rent have been or will be derived from a “specified unlawful activity” as defined in, and Tenant is not otherwise in violation of, the Money Laundering Control Act of 1986, as amended, or any other applicable laws regarding money laundering activities. Furthermore, Tenant agrees to immediately notify Landlord if Tenant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00"/>
          </w:cols>
          <w:pgMar w:left="240" w:top="270" w:right="259" w:bottom="1440" w:gutter="0" w:footer="0" w:header="0"/>
        </w:sectPr>
      </w:pPr>
    </w:p>
    <w:bookmarkStart w:id="248" w:name="page249"/>
    <w:bookmarkEnd w:id="248"/>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is, or in the future becomes a “senior foreign political figure,” or an immediate family member or close associate of a “senior foreign political figure,” within the meaning of Section 312 of the USA PATRIOT Act of 2001. Notwithstanding anything in the Lease to the contrary, Tenant acknowledges and agrees that the Lease is a continuing transaction and that the foregoing representations, certifications and warranties are ongoing and shall be and remain true and in full force and effect on the date hereof and throughout the Term of the Lease (and any extension thereof) and that any breach thereof shall be a default under the Lease (not subject to any notice or cure period) giving rise to Landlord’s remedies, including but not limited to forcible eviction, and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Tenant hereby agrees to defend, indemnify and hold harmless Landlord from and against any and all claims, damages, losses, risks, liabilities, fines, penalties, forfeitures and expenses (including costs and attorneys’ fees) arising from or related to any breach of the foregoing representations, certification and warranties.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VEHICLE PARKING.</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Term and subject to the Parking Rules set forth in Exhibit B as modified by Landlord from time to time (the “Rules”), Tenant shall be entitled to use up to six (6) unreserved parking spaces set forth in Section 1.Q in the parking facility of the Property during the initial Term hereof at the rate of Twenty and 00/100 Dollars per month per parking space, payable to Landlord as additional rent. Tenant shall pay market rate to Landlord for any additional parking spaces, subject to availability. For purposes of this Lease, a “parking space” refers to the space in which one (1) motor vehicle is intended to park. Landlord reserves the right at any time to relocate Tenant’s parking spaces within the existing parking lot serving the Building. If Tenant commits or allows in the parking facility any of the activities prohibited by the Lease or the Rules, then after a second written warning, Landlord shall have the right, without further notice, in addition to such other rights and remedies that it may have, to remove or tow away the vehicle involved and charge the cost to Tenant. Tenant’s parking rights are the personal rights of Tenant and Tenant shall not transfer, assign, or otherwise convey its parking rights separate and apart from this Lease.</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00"/>
          </w:cols>
          <w:pgMar w:left="240" w:top="274" w:right="259" w:bottom="1440" w:gutter="0" w:footer="0" w:header="0"/>
        </w:sectPr>
      </w:pPr>
    </w:p>
    <w:bookmarkStart w:id="249" w:name="page250"/>
    <w:bookmarkEnd w:id="2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Lease on the day and year first written above.</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LANDLORD:</w:t>
            </w:r>
          </w:p>
        </w:tc>
      </w:tr>
      <w:tr>
        <w:trPr>
          <w:trHeight w:val="310"/>
        </w:trPr>
        <w:tc>
          <w:tcPr>
            <w:tcW w:w="5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WHARTON LENDER ASSOCIATES, LP, a</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Pennsylvania Limited Partnership</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WHARTON LENDER PROPERTIES, LLC, a</w:t>
            </w:r>
          </w:p>
        </w:tc>
      </w:tr>
      <w:tr>
        <w:trPr>
          <w:trHeight w:val="216"/>
        </w:trPr>
        <w:tc>
          <w:tcPr>
            <w:tcW w:w="54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w w:val="95"/>
              </w:rPr>
              <w:t>Pennsylvania Limited Liability Company,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Larry Walsh</w:t>
            </w:r>
          </w:p>
        </w:tc>
      </w:tr>
      <w:tr>
        <w:trPr>
          <w:trHeight w:val="191"/>
        </w:trPr>
        <w:tc>
          <w:tcPr>
            <w:tcW w:w="540" w:type="dxa"/>
            <w:vAlign w:val="bottom"/>
          </w:tcPr>
          <w:p>
            <w:pPr>
              <w:spacing w:after="0" w:line="191"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Larry Walsh</w:t>
            </w:r>
          </w:p>
        </w:tc>
      </w:tr>
      <w:tr>
        <w:trPr>
          <w:trHeight w:val="23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Chief Operating Officer</w:t>
            </w:r>
          </w:p>
        </w:tc>
      </w:tr>
      <w:tr>
        <w:trPr>
          <w:trHeight w:val="418"/>
        </w:trPr>
        <w:tc>
          <w:tcPr>
            <w:tcW w:w="5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TENANT: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KRYSTAL BIOTECH LLC, a California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Krish S. Krishnan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Krish S. Krishnan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Manager, Krystal Biotech, LLC.</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Execution</w:t>
            </w:r>
          </w:p>
        </w:tc>
        <w:tc>
          <w:tcPr>
            <w:tcW w:w="270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74"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LEASE AGREEMENT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SECOND AMENDMENT TO LEASE AGREEMENT (the “Second Amendment”) is made as of the 27 day of February, 2017, by and between Wharton Lender Associates, L.P., (“Landlord”), and Krystal Biotech LLC, (“Tenant”).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WHEREAS, by Lease dated May 26, 2016 (the “Original Lease”), as amended by First Amendment to Lease Agreement dated July 26, 2016, (the Original Lease as amended, collectively, the “Lease”), Landlord currently leases to Tenant and Tenant currently leases from Landlord certain premises consisting of approximately 5,065 rentable square feet (the “Premises” ) on the 7</w:t>
      </w:r>
      <w:r>
        <w:rPr>
          <w:rFonts w:ascii="Arial" w:cs="Arial" w:eastAsia="Arial" w:hAnsi="Arial"/>
          <w:sz w:val="15"/>
          <w:szCs w:val="15"/>
          <w:color w:val="auto"/>
        </w:rPr>
        <w:t>th</w:t>
      </w:r>
      <w:r>
        <w:rPr>
          <w:rFonts w:ascii="Arial" w:cs="Arial" w:eastAsia="Arial" w:hAnsi="Arial"/>
          <w:sz w:val="18"/>
          <w:szCs w:val="18"/>
          <w:color w:val="auto"/>
        </w:rPr>
        <w:t xml:space="preserve"> Floor of the building known as 2100 Wharton Street, Pittsburgh, Pennsylvania (the “Building”); and</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Landlord and Tenant now desire to amend the Lease so as to (i) extend the Term of the Lease for a period of one (1) year; and (ii) modify certain other terms of the Lease, all in accordance with the terms and provisions hereof.</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NOW THEREFORE, the parties hereto, in consideration of the mutual premises contained herein, and intending to be legally bound hereby, do covenant and agree as follows:</w:t>
      </w:r>
    </w:p>
    <w:p>
      <w:pPr>
        <w:spacing w:after="0" w:line="170" w:lineRule="exact"/>
        <w:rPr>
          <w:sz w:val="20"/>
          <w:szCs w:val="20"/>
          <w:color w:val="auto"/>
        </w:rPr>
      </w:pPr>
    </w:p>
    <w:p>
      <w:pPr>
        <w:ind w:right="160" w:firstLine="464"/>
        <w:spacing w:after="0" w:line="277" w:lineRule="auto"/>
        <w:tabs>
          <w:tab w:leader="none" w:pos="636"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foregoing preamble is incorporated by reference herein as if set forth at length. Capitalized terms not otherwise defined shall have the meaning given to such terms in the Lease. All references herein to the Lease shall include this First Amendment.</w:t>
      </w:r>
    </w:p>
    <w:p>
      <w:pPr>
        <w:spacing w:after="0" w:line="170" w:lineRule="exact"/>
        <w:rPr>
          <w:rFonts w:ascii="Arial" w:cs="Arial" w:eastAsia="Arial" w:hAnsi="Arial"/>
          <w:sz w:val="18"/>
          <w:szCs w:val="18"/>
          <w:color w:val="auto"/>
        </w:rPr>
      </w:pPr>
    </w:p>
    <w:p>
      <w:pPr>
        <w:ind w:right="620" w:firstLine="464"/>
        <w:spacing w:after="0" w:line="308" w:lineRule="auto"/>
        <w:tabs>
          <w:tab w:leader="none" w:pos="636"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Extended Term</w:t>
      </w:r>
      <w:r>
        <w:rPr>
          <w:rFonts w:ascii="Arial" w:cs="Arial" w:eastAsia="Arial" w:hAnsi="Arial"/>
          <w:sz w:val="17"/>
          <w:szCs w:val="17"/>
          <w:color w:val="auto"/>
        </w:rPr>
        <w:t>. The extended term of the Lease for the Premises shall be for a period of one (1) year (the “Extended Term”) commencing on November 1, 2017 (the “Extended Term Commencement Date”) and ending on October 31, 2018 (the “Expiration Date”).</w:t>
      </w:r>
    </w:p>
    <w:p>
      <w:pPr>
        <w:spacing w:after="0" w:line="146" w:lineRule="exact"/>
        <w:rPr>
          <w:rFonts w:ascii="Arial" w:cs="Arial" w:eastAsia="Arial" w:hAnsi="Arial"/>
          <w:sz w:val="17"/>
          <w:szCs w:val="17"/>
          <w:color w:val="auto"/>
        </w:rPr>
      </w:pPr>
    </w:p>
    <w:p>
      <w:pPr>
        <w:ind w:left="640" w:hanging="17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Fixed Rent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Extended Term, Tenant shall pay to Landlord Fixed Rent for the Premises at the annual rate(s)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gridSpan w:val="3"/>
            <w:vMerge w:val="restart"/>
          </w:tcPr>
          <w:p>
            <w:pPr>
              <w:jc w:val="center"/>
              <w:ind w:right="1360"/>
              <w:spacing w:after="0"/>
              <w:rPr>
                <w:sz w:val="20"/>
                <w:szCs w:val="20"/>
                <w:color w:val="auto"/>
              </w:rPr>
            </w:pPr>
            <w:r>
              <w:rPr>
                <w:rFonts w:ascii="Arial" w:cs="Arial" w:eastAsia="Arial" w:hAnsi="Arial"/>
                <w:sz w:val="14"/>
                <w:szCs w:val="14"/>
                <w:b w:val="1"/>
                <w:bCs w:val="1"/>
                <w:color w:val="auto"/>
              </w:rPr>
              <w:t>EXTENDED</w:t>
            </w: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rPr>
              <w:t>MONTHLY</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ANNUAL FIXED</w:t>
            </w:r>
          </w:p>
        </w:tc>
        <w:tc>
          <w:tcPr>
            <w:tcW w:w="0" w:type="dxa"/>
            <w:vAlign w:val="bottom"/>
          </w:tcPr>
          <w:p>
            <w:pPr>
              <w:spacing w:after="0"/>
              <w:rPr>
                <w:sz w:val="1"/>
                <w:szCs w:val="1"/>
                <w:color w:val="auto"/>
              </w:rPr>
            </w:pPr>
          </w:p>
        </w:tc>
      </w:tr>
      <w:tr>
        <w:trPr>
          <w:trHeight w:val="144"/>
        </w:trPr>
        <w:tc>
          <w:tcPr>
            <w:tcW w:w="38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60" w:type="dxa"/>
            <w:vAlign w:val="bottom"/>
            <w:gridSpan w:val="3"/>
          </w:tcPr>
          <w:p>
            <w:pPr>
              <w:jc w:val="center"/>
              <w:ind w:right="1420"/>
              <w:spacing w:after="0" w:line="145" w:lineRule="exact"/>
              <w:rPr>
                <w:sz w:val="20"/>
                <w:szCs w:val="20"/>
                <w:color w:val="auto"/>
              </w:rPr>
            </w:pPr>
            <w:r>
              <w:rPr>
                <w:rFonts w:ascii="Arial" w:cs="Arial" w:eastAsia="Arial" w:hAnsi="Arial"/>
                <w:sz w:val="14"/>
                <w:szCs w:val="14"/>
                <w:b w:val="1"/>
                <w:bCs w:val="1"/>
                <w:color w:val="auto"/>
              </w:rPr>
              <w:t>FIXED RENT</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TERM</w:t>
            </w:r>
          </w:p>
        </w:tc>
        <w:tc>
          <w:tcPr>
            <w:tcW w:w="2220" w:type="dxa"/>
            <w:vAlign w:val="bottom"/>
          </w:tcPr>
          <w:p>
            <w:pPr>
              <w:spacing w:after="0"/>
              <w:rPr>
                <w:sz w:val="11"/>
                <w:szCs w:val="11"/>
                <w:color w:val="auto"/>
              </w:rPr>
            </w:pPr>
          </w:p>
        </w:tc>
        <w:tc>
          <w:tcPr>
            <w:tcW w:w="2100" w:type="dxa"/>
            <w:vAlign w:val="bottom"/>
            <w:gridSpan w:val="2"/>
          </w:tcPr>
          <w:p>
            <w:pPr>
              <w:jc w:val="center"/>
              <w:ind w:right="1360"/>
              <w:spacing w:after="0" w:line="129" w:lineRule="exact"/>
              <w:rPr>
                <w:sz w:val="20"/>
                <w:szCs w:val="20"/>
                <w:color w:val="auto"/>
              </w:rPr>
            </w:pPr>
            <w:r>
              <w:rPr>
                <w:rFonts w:ascii="Arial" w:cs="Arial" w:eastAsia="Arial" w:hAnsi="Arial"/>
                <w:sz w:val="14"/>
                <w:szCs w:val="14"/>
                <w:b w:val="1"/>
                <w:bCs w:val="1"/>
                <w:color w:val="auto"/>
              </w:rPr>
              <w:t>PREMISES</w:t>
            </w:r>
          </w:p>
        </w:tc>
        <w:tc>
          <w:tcPr>
            <w:tcW w:w="2460" w:type="dxa"/>
            <w:vAlign w:val="bottom"/>
            <w:gridSpan w:val="3"/>
          </w:tcPr>
          <w:p>
            <w:pPr>
              <w:jc w:val="center"/>
              <w:ind w:right="1420"/>
              <w:spacing w:after="0" w:line="129" w:lineRule="exact"/>
              <w:rPr>
                <w:sz w:val="20"/>
                <w:szCs w:val="20"/>
                <w:color w:val="auto"/>
              </w:rPr>
            </w:pPr>
            <w:r>
              <w:rPr>
                <w:rFonts w:ascii="Arial" w:cs="Arial" w:eastAsia="Arial" w:hAnsi="Arial"/>
                <w:sz w:val="14"/>
                <w:szCs w:val="14"/>
                <w:b w:val="1"/>
                <w:bCs w:val="1"/>
                <w:color w:val="auto"/>
              </w:rPr>
              <w:t>INSTALLMENT</w:t>
            </w:r>
          </w:p>
        </w:tc>
        <w:tc>
          <w:tcPr>
            <w:tcW w:w="1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RENT AMOUNT</w:t>
            </w:r>
          </w:p>
        </w:tc>
        <w:tc>
          <w:tcPr>
            <w:tcW w:w="0" w:type="dxa"/>
            <w:vAlign w:val="bottom"/>
          </w:tcPr>
          <w:p>
            <w:pPr>
              <w:spacing w:after="0"/>
              <w:rPr>
                <w:sz w:val="1"/>
                <w:szCs w:val="1"/>
                <w:color w:val="auto"/>
              </w:rPr>
            </w:pPr>
          </w:p>
        </w:tc>
      </w:tr>
      <w:tr>
        <w:trPr>
          <w:trHeight w:val="21"/>
        </w:trPr>
        <w:tc>
          <w:tcPr>
            <w:tcW w:w="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center"/>
              <w:ind w:right="2220"/>
              <w:spacing w:after="0"/>
              <w:rPr>
                <w:sz w:val="20"/>
                <w:szCs w:val="20"/>
                <w:color w:val="auto"/>
              </w:rPr>
            </w:pPr>
            <w:r>
              <w:rPr>
                <w:rFonts w:ascii="Arial" w:cs="Arial" w:eastAsia="Arial" w:hAnsi="Arial"/>
                <w:sz w:val="18"/>
                <w:szCs w:val="18"/>
                <w:color w:val="auto"/>
                <w:w w:val="86"/>
              </w:rPr>
              <w:t>Year 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5,065 rsf</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  108,000.00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Fixed Rent shall be payable in equal monthly installments in advance on the first day of each calendar month during the Extended Term without demand, notice, offset or deduction.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51" w:name="page252"/>
    <w:bookmarkEnd w:id="251"/>
    <w:p>
      <w:pPr>
        <w:ind w:left="-20" w:right="320" w:firstLine="464"/>
        <w:spacing w:after="0" w:line="264" w:lineRule="auto"/>
        <w:tabs>
          <w:tab w:leader="none" w:pos="61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 of Premises</w:t>
      </w:r>
      <w:r>
        <w:rPr>
          <w:rFonts w:ascii="Arial" w:cs="Arial" w:eastAsia="Arial" w:hAnsi="Arial"/>
          <w:sz w:val="18"/>
          <w:szCs w:val="18"/>
          <w:color w:val="auto"/>
        </w:rPr>
        <w:t>. Notwithstanding anything contained in the Lease to the contrary, Tenant’s continued possession of the Premises for the Extended Term shall be in its current “as-is” where is condition and any and all costs for work required in the Premises shall be performed by Landlord at Tenant’s sole cost and expense.</w:t>
      </w:r>
    </w:p>
    <w:p>
      <w:pPr>
        <w:spacing w:after="0" w:line="181" w:lineRule="exact"/>
        <w:rPr>
          <w:rFonts w:ascii="Arial" w:cs="Arial" w:eastAsia="Arial" w:hAnsi="Arial"/>
          <w:sz w:val="18"/>
          <w:szCs w:val="18"/>
          <w:color w:val="auto"/>
        </w:rPr>
      </w:pPr>
    </w:p>
    <w:p>
      <w:pPr>
        <w:ind w:left="-20" w:right="20" w:firstLine="464"/>
        <w:spacing w:after="0" w:line="277" w:lineRule="auto"/>
        <w:tabs>
          <w:tab w:leader="none" w:pos="61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Vehicle Parking</w:t>
      </w:r>
      <w:r>
        <w:rPr>
          <w:rFonts w:ascii="Arial" w:cs="Arial" w:eastAsia="Arial" w:hAnsi="Arial"/>
          <w:sz w:val="18"/>
          <w:szCs w:val="18"/>
          <w:color w:val="auto"/>
        </w:rPr>
        <w:t>. Commencing as of the Extended Term Commencement Date, the first two lines of Section 28, of the Original Lease shall be deleted in their entirety, null and void and of no force or effect, and shall be replaced with the following:</w:t>
      </w:r>
    </w:p>
    <w:p>
      <w:pPr>
        <w:spacing w:after="0" w:line="62" w:lineRule="exact"/>
        <w:rPr>
          <w:sz w:val="20"/>
          <w:szCs w:val="20"/>
          <w:color w:val="auto"/>
        </w:rPr>
      </w:pPr>
    </w:p>
    <w:p>
      <w:pPr>
        <w:ind w:left="900"/>
        <w:spacing w:after="0" w:line="257" w:lineRule="auto"/>
        <w:rPr>
          <w:sz w:val="20"/>
          <w:szCs w:val="20"/>
          <w:color w:val="auto"/>
        </w:rPr>
      </w:pPr>
      <w:r>
        <w:rPr>
          <w:rFonts w:ascii="Arial" w:cs="Arial" w:eastAsia="Arial" w:hAnsi="Arial"/>
          <w:sz w:val="18"/>
          <w:szCs w:val="18"/>
          <w:color w:val="auto"/>
        </w:rPr>
        <w:t>“During the Extended Term, subject to the Parking Rules set forth in Exhibit B to the Original Lease, as modified by Landlord from time to time (the “Rules”), Tenant shall be entitled to use up to eight (8) unreserved parking spaces in the parking facility of the Property, subject to availability, at the rate of One Hundred Forty and 00/Dollars ($140.00) per month per parking space. Tenant shall pay Landlord, as additional rent, without demand, notice, offset or deduction, the foregoing rate per parking space per month for each month of the Extended Term hereof for each of the Parking Spaces utilized by Tenant.”</w:t>
      </w:r>
    </w:p>
    <w:p>
      <w:pPr>
        <w:spacing w:after="0" w:line="188" w:lineRule="exact"/>
        <w:rPr>
          <w:sz w:val="20"/>
          <w:szCs w:val="20"/>
          <w:color w:val="auto"/>
        </w:rPr>
      </w:pPr>
    </w:p>
    <w:p>
      <w:pPr>
        <w:ind w:left="-20" w:right="80" w:firstLine="464"/>
        <w:spacing w:after="0" w:line="312" w:lineRule="auto"/>
        <w:tabs>
          <w:tab w:leader="none" w:pos="616"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Broker</w:t>
      </w:r>
      <w:r>
        <w:rPr>
          <w:rFonts w:ascii="Arial" w:cs="Arial" w:eastAsia="Arial" w:hAnsi="Arial"/>
          <w:sz w:val="16"/>
          <w:szCs w:val="16"/>
          <w:color w:val="auto"/>
        </w:rPr>
        <w:t>. Tenant represents to Landlord, that Tenant has not dealt with any real estate broker, sales person, or finder in connection with this Second Amendment except for CBRE, Inc., 600 Grant Street, Suite 4800, Pittsburgh, PA 15219. Tenant hereby agrees to indemnify and hold harmless Landlord and its agents and employees, from and against any and all liabilities and claims for commissions and fees arising out of a breach of the foregoing representation.</w:t>
      </w:r>
    </w:p>
    <w:p>
      <w:pPr>
        <w:spacing w:after="0" w:line="146" w:lineRule="exact"/>
        <w:rPr>
          <w:rFonts w:ascii="Arial" w:cs="Arial" w:eastAsia="Arial" w:hAnsi="Arial"/>
          <w:sz w:val="16"/>
          <w:szCs w:val="16"/>
          <w:color w:val="auto"/>
        </w:rPr>
      </w:pPr>
    </w:p>
    <w:p>
      <w:pPr>
        <w:ind w:left="-20" w:firstLine="464"/>
        <w:spacing w:after="0" w:line="273" w:lineRule="auto"/>
        <w:tabs>
          <w:tab w:leader="none" w:pos="616"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Full Force and Effect</w:t>
      </w:r>
      <w:r>
        <w:rPr>
          <w:rFonts w:ascii="Arial" w:cs="Arial" w:eastAsia="Arial" w:hAnsi="Arial"/>
          <w:sz w:val="17"/>
          <w:szCs w:val="17"/>
          <w:color w:val="auto"/>
        </w:rPr>
        <w:t>. Except as specifically set forth herein, the terms, covenants and conditions of the Lease shall remain in full force and effect. The Lease and this Second Amendment shall not be further modified or amended, except in writing signed by both Landlord and Tenant. This Second Amendment sets forth the entire understanding of the parties with respect to the matters set forth herein and there are no other rights, including but not limited to, any renewals, extensions, expansions, purchases, rights of first refusal, allowances, etc., granted under the Lease or this Second Amendment. Landlord and Tenant hereby ratify and affirm all of the remaining terms and conditions of the Lease. Tenant hereby acknowledges that, as of the date of this Second Amendment, Landlord is not in default of any of the terms and conditions of the Lease.</w:t>
      </w:r>
    </w:p>
    <w:p>
      <w:pPr>
        <w:spacing w:after="0" w:line="178" w:lineRule="exact"/>
        <w:rPr>
          <w:rFonts w:ascii="Arial" w:cs="Arial" w:eastAsia="Arial" w:hAnsi="Arial"/>
          <w:sz w:val="17"/>
          <w:szCs w:val="17"/>
          <w:color w:val="auto"/>
        </w:rPr>
      </w:pPr>
    </w:p>
    <w:p>
      <w:pPr>
        <w:ind w:left="-20" w:right="160" w:firstLine="464"/>
        <w:spacing w:after="0" w:line="277" w:lineRule="auto"/>
        <w:tabs>
          <w:tab w:leader="none" w:pos="61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Provisions Binding</w:t>
      </w:r>
      <w:r>
        <w:rPr>
          <w:rFonts w:ascii="Arial" w:cs="Arial" w:eastAsia="Arial" w:hAnsi="Arial"/>
          <w:sz w:val="18"/>
          <w:szCs w:val="18"/>
          <w:color w:val="auto"/>
        </w:rPr>
        <w:t>. All rights and liabilities herein given to or imposed upon the parties to this Second Amendment shall extend to, and be binding upon and inure to the benefit of, the parties hereto and their respective heirs, successors and assigns.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252" w:name="page253"/>
    <w:bookmarkEnd w:id="252"/>
    <w:p>
      <w:pPr>
        <w:ind w:left="-160" w:firstLine="464"/>
        <w:spacing w:after="0" w:line="257" w:lineRule="auto"/>
        <w:tabs>
          <w:tab w:leader="none" w:pos="47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Arial" w:cs="Arial" w:eastAsia="Arial" w:hAnsi="Arial"/>
          <w:sz w:val="18"/>
          <w:szCs w:val="18"/>
          <w:color w:val="auto"/>
        </w:rPr>
        <w:t>. Tenant and Tenant’s representative agree that it shall maintain in confidence and shall not divulge to any third party (except as may be required by law) any of the items, covenants and conditions of the Lease and this Second Amendment, including without limitation, any information related to the rental rate, the length of the Term, and any other terms and conditions thereof. Tenant further agrees to take commercially reasonable precautions to prevent the unauthorized disclosure of any such information to any third parties. Tenant’s obligations under this Section 9. shall survive the termination of the Lease.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400" w:top="274" w:right="39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Second Amendment to Lease Agreement on the day and year first above written.</w:t>
      </w:r>
    </w:p>
    <w:p>
      <w:pPr>
        <w:spacing w:after="0" w:line="26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LANDLORD:</w:t>
            </w:r>
          </w:p>
        </w:tc>
      </w:tr>
      <w:tr>
        <w:trPr>
          <w:trHeight w:val="310"/>
        </w:trPr>
        <w:tc>
          <w:tcPr>
            <w:tcW w:w="5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WHARTON LENDER ASSOCIATES,</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LP, a Pennsylvania Limited Partnership</w:t>
            </w:r>
          </w:p>
        </w:tc>
      </w:tr>
      <w:tr>
        <w:trPr>
          <w:trHeight w:val="323"/>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WHARTON LENDER PROPERTIES, LLC, a</w:t>
            </w:r>
          </w:p>
        </w:tc>
      </w:tr>
      <w:tr>
        <w:trPr>
          <w:trHeight w:val="216"/>
        </w:trPr>
        <w:tc>
          <w:tcPr>
            <w:tcW w:w="54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w w:val="95"/>
              </w:rPr>
              <w:t>Pennsylvania Limited Liability Company, its General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Larry Walsh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LARRY WALSH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445"/>
        </w:trPr>
        <w:tc>
          <w:tcPr>
            <w:tcW w:w="5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TENANT:</w:t>
            </w:r>
          </w:p>
        </w:tc>
      </w:tr>
      <w:tr>
        <w:trPr>
          <w:trHeight w:val="216"/>
        </w:trPr>
        <w:tc>
          <w:tcPr>
            <w:tcW w:w="54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KRYSTAL BIOTECH LLC, a California Limited</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Liability Company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Krish S Krishnan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KRISH S KRISHNAN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in this Amendment No. 1 to Registration Statement No. 333-127526 of Form S-1 and related Prospectus dated September 7, 2017 of</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report dated July 14, 2017 (except for the subsequent events noted in Note 13, as to which the date is September , 2017) with respect to the financial statements of Krystal Biotech, Inc. for the year ended December 31, 2016, and to the reference to us under the heading “Experts” in this Prospectus which is part of this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w:t>
      </w:r>
    </w:p>
    <w:p>
      <w:pPr>
        <w:spacing w:after="0" w:line="21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financial statements give effect to a 1 for 4.5 forward stock split, in the form of a dividend, of the common stock and preferred stock of Krystal Biotech, Inc. which will take place prior to the effective date of the registration statement of which this prospectus is a part. The preceding consent is in the form which will be furnished by Mayer Hoffman McCann P.C., an independent registered public accounting firm, upon completion of the 1 for 4.5 forward stock split, in the form of a dividend, of the common stock and preferred stock of Krystal Biotech, Inc. described in Note 13 to the financial statements and assuming that from July 14, 2017 to the date of such completion no other material events have occurred that would affect the accompanying financial statements or disclosure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1)"/>
      <w:numFmt w:val="decimal"/>
      <w:start w:val="1"/>
    </w:lvl>
  </w:abstractNum>
  <w:abstractNum w:abstractNumId="1">
    <w:nsid w:val="3DD15094"/>
    <w:multiLevelType w:val="hybridMultilevel"/>
    <w:lvl w:ilvl="0">
      <w:lvlJc w:val="left"/>
      <w:lvlText w:val="•"/>
      <w:numFmt w:val="bullet"/>
      <w:start w:val="1"/>
    </w:lvl>
    <w:lvl w:ilvl="1">
      <w:lvlJc w:val="left"/>
      <w:lvlText w:val=" "/>
      <w:numFmt w:val="bullet"/>
      <w:start w:val="1"/>
    </w:lvl>
  </w:abstractNum>
  <w:abstractNum w:abstractNumId="2">
    <w:nsid w:val="3DB012B3"/>
    <w:multiLevelType w:val="hybridMultilevel"/>
    <w:lvl w:ilvl="0">
      <w:lvlJc w:val="left"/>
      <w:lvlText w:val="•"/>
      <w:numFmt w:val="bullet"/>
      <w:start w:val="1"/>
    </w:lvl>
  </w:abstractNum>
  <w:abstractNum w:abstractNumId="3">
    <w:nsid w:val="2708C9AF"/>
    <w:multiLevelType w:val="hybridMultilevel"/>
    <w:lvl w:ilvl="0">
      <w:lvlJc w:val="left"/>
      <w:lvlText w:val="•"/>
      <w:numFmt w:val="bullet"/>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1)"/>
      <w:numFmt w:val="decimal"/>
      <w:start w:val="412"/>
    </w:lvl>
  </w:abstractNum>
  <w:abstractNum w:abstractNumId="7">
    <w:nsid w:val="53B0A9E"/>
    <w:multiLevelType w:val="hybridMultilevel"/>
    <w:lvl w:ilvl="0">
      <w:lvlJc w:val="left"/>
      <w:lvlText w:val="•"/>
      <w:numFmt w:val="bullet"/>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1)"/>
      <w:numFmt w:val="decimal"/>
      <w:start w:val="1"/>
    </w:lvl>
  </w:abstractNum>
  <w:abstractNum w:abstractNumId="11">
    <w:nsid w:val="519E3149"/>
    <w:multiLevelType w:val="hybridMultilevel"/>
    <w:lvl w:ilvl="0">
      <w:lvlJc w:val="left"/>
      <w:lvlText w:val="(%1)"/>
      <w:numFmt w:val="decimal"/>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
      <w:numFmt w:val="bullet"/>
      <w:start w:val="1"/>
    </w:lvl>
  </w:abstractNum>
  <w:abstractNum w:abstractNumId="30">
    <w:nsid w:val="E3E47A8"/>
    <w:multiLevelType w:val="hybridMultilevel"/>
    <w:lvl w:ilvl="0">
      <w:lvlJc w:val="left"/>
      <w:lvlText w:val="•"/>
      <w:numFmt w:val="bullet"/>
      <w:start w:val="1"/>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1)"/>
      <w:numFmt w:val="decimal"/>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
      <w:numFmt w:val="bullet"/>
      <w:start w:val="1"/>
    </w:lvl>
  </w:abstractNum>
  <w:abstractNum w:abstractNumId="38">
    <w:nsid w:val="2A31B62D"/>
    <w:multiLevelType w:val="hybridMultilevel"/>
    <w:lvl w:ilvl="0">
      <w:lvlJc w:val="left"/>
      <w:lvlText w:val="•"/>
      <w:numFmt w:val="bullet"/>
      <w:start w:val="1"/>
    </w:lvl>
  </w:abstractNum>
  <w:abstractNum w:abstractNumId="39">
    <w:nsid w:val="1849C29B"/>
    <w:multiLevelType w:val="hybridMultilevel"/>
    <w:lvl w:ilvl="0">
      <w:lvlJc w:val="left"/>
      <w:lvlText w:val="•"/>
      <w:numFmt w:val="bullet"/>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
      <w:numFmt w:val="bullet"/>
      <w:start w:val="1"/>
    </w:lvl>
  </w:abstractNum>
  <w:abstractNum w:abstractNumId="47">
    <w:nsid w:val="759F82CD"/>
    <w:multiLevelType w:val="hybridMultilevel"/>
    <w:lvl w:ilvl="0">
      <w:lvlJc w:val="left"/>
      <w:lvlText w:val="$"/>
      <w:numFmt w:val="bullet"/>
      <w:start w:val="1"/>
    </w:lvl>
  </w:abstractNum>
  <w:abstractNum w:abstractNumId="48">
    <w:nsid w:val="61E74EA3"/>
    <w:multiLevelType w:val="hybridMultilevel"/>
    <w:lvl w:ilvl="0">
      <w:lvlJc w:val="left"/>
      <w:lvlText w:val="$"/>
      <w:numFmt w:val="bullet"/>
      <w:start w:val="1"/>
    </w:lvl>
  </w:abstractNum>
  <w:abstractNum w:abstractNumId="49">
    <w:nsid w:val="597B4D84"/>
    <w:multiLevelType w:val="hybridMultilevel"/>
    <w:lvl w:ilvl="0">
      <w:lvlJc w:val="left"/>
      <w:lvlText w:val="•"/>
      <w:numFmt w:val="bullet"/>
      <w:start w:val="1"/>
    </w:lvl>
    <w:lvl w:ilvl="1">
      <w:lvlJc w:val="left"/>
      <w:lvlText w:val="•"/>
      <w:numFmt w:val="bullet"/>
      <w:start w:val="1"/>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
      <w:numFmt w:val="bullet"/>
      <w:start w:val="1"/>
    </w:lvl>
  </w:abstractNum>
  <w:abstractNum w:abstractNumId="52">
    <w:nsid w:val="312167AD"/>
    <w:multiLevelType w:val="hybridMultilevel"/>
    <w:lvl w:ilvl="0">
      <w:lvlJc w:val="left"/>
      <w:lvlText w:val="•"/>
      <w:numFmt w:val="bullet"/>
      <w:start w:val="1"/>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
      <w:numFmt w:val="bullet"/>
      <w:start w:val="1"/>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
      <w:numFmt w:val="bullet"/>
      <w:start w:val="1"/>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
      <w:numFmt w:val="bullet"/>
      <w:start w:val="1"/>
    </w:lvl>
  </w:abstractNum>
  <w:abstractNum w:abstractNumId="60">
    <w:nsid w:val="260D8C4A"/>
    <w:multiLevelType w:val="hybridMultilevel"/>
    <w:lvl w:ilvl="0">
      <w:lvlJc w:val="left"/>
      <w:lvlText w:val="•"/>
      <w:numFmt w:val="bullet"/>
      <w:start w:val="1"/>
    </w:lvl>
  </w:abstractNum>
  <w:abstractNum w:abstractNumId="61">
    <w:nsid w:val="73D4D3C4"/>
    <w:multiLevelType w:val="hybridMultilevel"/>
    <w:lvl w:ilvl="0">
      <w:lvlJc w:val="left"/>
      <w:lvlText w:val="•"/>
      <w:numFmt w:val="bullet"/>
      <w:start w:val="1"/>
    </w:lvl>
  </w:abstractNum>
  <w:abstractNum w:abstractNumId="62">
    <w:nsid w:val="746F2E30"/>
    <w:multiLevelType w:val="hybridMultilevel"/>
    <w:lvl w:ilvl="0">
      <w:lvlJc w:val="left"/>
      <w:lvlText w:val="•"/>
      <w:numFmt w:val="bullet"/>
      <w:start w:val="1"/>
    </w:lvl>
  </w:abstractNum>
  <w:abstractNum w:abstractNumId="63">
    <w:nsid w:val="6FDE8AF6"/>
    <w:multiLevelType w:val="hybridMultilevel"/>
    <w:lvl w:ilvl="0">
      <w:lvlJc w:val="left"/>
      <w:lvlText w:val="•"/>
      <w:numFmt w:val="bullet"/>
      <w:start w:val="1"/>
    </w:lvl>
  </w:abstractNum>
  <w:abstractNum w:abstractNumId="64">
    <w:nsid w:val="3FC32E20"/>
    <w:multiLevelType w:val="hybridMultilevel"/>
    <w:lvl w:ilvl="0">
      <w:lvlJc w:val="left"/>
      <w:lvlText w:val="•"/>
      <w:numFmt w:val="bullet"/>
      <w:start w:val="1"/>
    </w:lvl>
  </w:abstractNum>
  <w:abstractNum w:abstractNumId="65">
    <w:nsid w:val="49C0E823"/>
    <w:multiLevelType w:val="hybridMultilevel"/>
    <w:lvl w:ilvl="0">
      <w:lvlJc w:val="left"/>
      <w:lvlText w:val="•"/>
      <w:numFmt w:val="bullet"/>
      <w:start w:val="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
      <w:numFmt w:val="bullet"/>
      <w:start w:val="1"/>
    </w:lvl>
  </w:abstractNum>
  <w:abstractNum w:abstractNumId="68">
    <w:nsid w:val="6EAA85FB"/>
    <w:multiLevelType w:val="hybridMultilevel"/>
    <w:lvl w:ilvl="0">
      <w:lvlJc w:val="left"/>
      <w:lvlText w:val="(%1)"/>
      <w:numFmt w:val="decimal"/>
      <w:start w:val="1"/>
    </w:lvl>
  </w:abstractNum>
  <w:abstractNum w:abstractNumId="69">
    <w:nsid w:val="3F06ECB2"/>
    <w:multiLevelType w:val="hybridMultilevel"/>
    <w:lvl w:ilvl="0">
      <w:lvlJc w:val="left"/>
      <w:lvlText w:val="•"/>
      <w:numFmt w:val="bullet"/>
      <w:start w:val="1"/>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
      <w:numFmt w:val="bullet"/>
      <w:start w:val="1"/>
    </w:lvl>
  </w:abstractNum>
  <w:abstractNum w:abstractNumId="72">
    <w:nsid w:val="3F7C2FF4"/>
    <w:multiLevelType w:val="hybridMultilevel"/>
    <w:lvl w:ilvl="0">
      <w:lvlJc w:val="left"/>
      <w:lvlText w:val="•"/>
      <w:numFmt w:val="bullet"/>
      <w:start w:val="1"/>
    </w:lvl>
  </w:abstractNum>
  <w:abstractNum w:abstractNumId="73">
    <w:nsid w:val="25413BEC"/>
    <w:multiLevelType w:val="hybridMultilevel"/>
    <w:lvl w:ilvl="0">
      <w:lvlJc w:val="left"/>
      <w:lvlText w:val="•"/>
      <w:numFmt w:val="bullet"/>
      <w:start w:val="1"/>
    </w:lvl>
  </w:abstractNum>
  <w:abstractNum w:abstractNumId="74">
    <w:nsid w:val="17180B0B"/>
    <w:multiLevelType w:val="hybridMultilevel"/>
    <w:lvl w:ilvl="0">
      <w:lvlJc w:val="left"/>
      <w:lvlText w:val="(%1)"/>
      <w:numFmt w:val="decimal"/>
      <w:start w:val="1"/>
    </w:lvl>
  </w:abstractNum>
  <w:abstractNum w:abstractNumId="75">
    <w:nsid w:val="579328B9"/>
    <w:multiLevelType w:val="hybridMultilevel"/>
    <w:lvl w:ilvl="0">
      <w:lvlJc w:val="left"/>
      <w:lvlText w:val="(%1)"/>
      <w:numFmt w:val="decimal"/>
      <w:start w:val="2"/>
    </w:lvl>
  </w:abstractNum>
  <w:abstractNum w:abstractNumId="76">
    <w:nsid w:val="5D205E20"/>
    <w:multiLevelType w:val="hybridMultilevel"/>
    <w:lvl w:ilvl="0">
      <w:lvlJc w:val="left"/>
      <w:lvlText w:val="•"/>
      <w:numFmt w:val="bullet"/>
      <w:start w:val="1"/>
    </w:lvl>
  </w:abstractNum>
  <w:abstractNum w:abstractNumId="77">
    <w:nsid w:val="11CCA8BA"/>
    <w:multiLevelType w:val="hybridMultilevel"/>
    <w:lvl w:ilvl="0">
      <w:lvlJc w:val="left"/>
      <w:lvlText w:val="(%1)"/>
      <w:numFmt w:val="decimal"/>
      <w:start w:val="1"/>
    </w:lvl>
  </w:abstractNum>
  <w:abstractNum w:abstractNumId="78">
    <w:nsid w:val="4D32AB86"/>
    <w:multiLevelType w:val="hybridMultilevel"/>
    <w:lvl w:ilvl="0">
      <w:lvlJc w:val="left"/>
      <w:lvlText w:val="(%1)"/>
      <w:numFmt w:val="decimal"/>
      <w:start w:val="1"/>
    </w:lvl>
  </w:abstractNum>
  <w:abstractNum w:abstractNumId="79">
    <w:nsid w:val="3F07ACC3"/>
    <w:multiLevelType w:val="hybridMultilevel"/>
    <w:lvl w:ilvl="0">
      <w:lvlJc w:val="left"/>
      <w:lvlText w:val="•"/>
      <w:numFmt w:val="bullet"/>
      <w:start w:val="1"/>
    </w:lvl>
  </w:abstractNum>
  <w:abstractNum w:abstractNumId="80">
    <w:nsid w:val="6B47F63E"/>
    <w:multiLevelType w:val="hybridMultilevel"/>
    <w:lvl w:ilvl="0">
      <w:lvlJc w:val="left"/>
      <w:lvlText w:val="•"/>
      <w:numFmt w:val="bullet"/>
      <w:start w:val="1"/>
    </w:lvl>
  </w:abstractNum>
  <w:abstractNum w:abstractNumId="81">
    <w:nsid w:val="5CB44A05"/>
    <w:multiLevelType w:val="hybridMultilevel"/>
    <w:lvl w:ilvl="0">
      <w:lvlJc w:val="left"/>
      <w:lvlText w:val="."/>
      <w:numFmt w:val="bullet"/>
      <w:start w:val="1"/>
    </w:lvl>
  </w:abstractNum>
  <w:abstractNum w:abstractNumId="82">
    <w:nsid w:val="16CF80F1"/>
    <w:multiLevelType w:val="hybridMultilevel"/>
    <w:lvl w:ilvl="0">
      <w:lvlJc w:val="left"/>
      <w:lvlText w:val="•"/>
      <w:numFmt w:val="bullet"/>
      <w:start w:val="1"/>
    </w:lvl>
  </w:abstractNum>
  <w:abstractNum w:abstractNumId="83">
    <w:nsid w:val="1C695DEC"/>
    <w:multiLevelType w:val="hybridMultilevel"/>
    <w:lvl w:ilvl="0">
      <w:lvlJc w:val="left"/>
      <w:lvlText w:val="•"/>
      <w:numFmt w:val="bullet"/>
      <w:start w:val="1"/>
    </w:lvl>
  </w:abstractNum>
  <w:abstractNum w:abstractNumId="84">
    <w:nsid w:val="3FCFAED9"/>
    <w:multiLevelType w:val="hybridMultilevel"/>
    <w:lvl w:ilvl="0">
      <w:lvlJc w:val="left"/>
      <w:lvlText w:val="(%1)"/>
      <w:numFmt w:val="decimal"/>
      <w:start w:val="1"/>
    </w:lvl>
  </w:abstractNum>
  <w:abstractNum w:abstractNumId="85">
    <w:nsid w:val="F856867"/>
    <w:multiLevelType w:val="hybridMultilevel"/>
    <w:lvl w:ilvl="0">
      <w:lvlJc w:val="left"/>
      <w:lvlText w:val="(%1)"/>
      <w:numFmt w:val="decimal"/>
      <w:start w:val="3"/>
    </w:lvl>
  </w:abstractNum>
  <w:abstractNum w:abstractNumId="86">
    <w:nsid w:val="11B1CC33"/>
    <w:multiLevelType w:val="hybridMultilevel"/>
    <w:lvl w:ilvl="0">
      <w:lvlJc w:val="left"/>
      <w:lvlText w:val="•"/>
      <w:numFmt w:val="bullet"/>
      <w:start w:val="1"/>
    </w:lvl>
  </w:abstractNum>
  <w:abstractNum w:abstractNumId="87">
    <w:nsid w:val="2E22FBB7"/>
    <w:multiLevelType w:val="hybridMultilevel"/>
    <w:lvl w:ilvl="0">
      <w:lvlJc w:val="left"/>
      <w:lvlText w:val="(%1)"/>
      <w:numFmt w:val="decimal"/>
      <w:start w:val="1"/>
    </w:lvl>
  </w:abstractNum>
  <w:abstractNum w:abstractNumId="88">
    <w:nsid w:val="29934699"/>
    <w:multiLevelType w:val="hybridMultilevel"/>
    <w:lvl w:ilvl="0">
      <w:lvlJc w:val="left"/>
      <w:lvlText w:val="•"/>
      <w:numFmt w:val="bullet"/>
      <w:start w:val="1"/>
    </w:lvl>
  </w:abstractNum>
  <w:abstractNum w:abstractNumId="89">
    <w:nsid w:val="77485850"/>
    <w:multiLevelType w:val="hybridMultilevel"/>
    <w:lvl w:ilvl="0">
      <w:lvlJc w:val="left"/>
      <w:lvlText w:val="•"/>
      <w:numFmt w:val="bullet"/>
      <w:start w:val="1"/>
    </w:lvl>
  </w:abstractNum>
  <w:abstractNum w:abstractNumId="90">
    <w:nsid w:val="744939A3"/>
    <w:multiLevelType w:val="hybridMultilevel"/>
    <w:lvl w:ilvl="0">
      <w:lvlJc w:val="left"/>
      <w:lvlText w:val="•"/>
      <w:numFmt w:val="bullet"/>
      <w:start w:val="1"/>
    </w:lvl>
  </w:abstractNum>
  <w:abstractNum w:abstractNumId="91">
    <w:nsid w:val="4FA0D2E3"/>
    <w:multiLevelType w:val="hybridMultilevel"/>
    <w:lvl w:ilvl="0">
      <w:lvlJc w:val="left"/>
      <w:lvlText w:val="•"/>
      <w:numFmt w:val="bullet"/>
      <w:start w:val="1"/>
    </w:lvl>
  </w:abstractNum>
  <w:abstractNum w:abstractNumId="92">
    <w:nsid w:val="6B1D2C14"/>
    <w:multiLevelType w:val="hybridMultilevel"/>
    <w:lvl w:ilvl="0">
      <w:lvlJc w:val="left"/>
      <w:lvlText w:val="•"/>
      <w:numFmt w:val="bullet"/>
      <w:start w:val="1"/>
    </w:lvl>
  </w:abstractNum>
  <w:abstractNum w:abstractNumId="93">
    <w:nsid w:val="68B867D3"/>
    <w:multiLevelType w:val="hybridMultilevel"/>
    <w:lvl w:ilvl="0">
      <w:lvlJc w:val="left"/>
      <w:lvlText w:val="•"/>
      <w:numFmt w:val="bullet"/>
      <w:start w:val="1"/>
    </w:lvl>
  </w:abstractNum>
  <w:abstractNum w:abstractNumId="94">
    <w:nsid w:val="3F7F5DD9"/>
    <w:multiLevelType w:val="hybridMultilevel"/>
    <w:lvl w:ilvl="0">
      <w:lvlJc w:val="left"/>
      <w:lvlText w:val="•"/>
      <w:numFmt w:val="bullet"/>
      <w:start w:val="1"/>
    </w:lvl>
  </w:abstractNum>
  <w:abstractNum w:abstractNumId="95">
    <w:nsid w:val="2AE05A34"/>
    <w:multiLevelType w:val="hybridMultilevel"/>
    <w:lvl w:ilvl="0">
      <w:lvlJc w:val="left"/>
      <w:lvlText w:val="•"/>
      <w:numFmt w:val="bullet"/>
      <w:start w:val="1"/>
    </w:lvl>
  </w:abstractNum>
  <w:abstractNum w:abstractNumId="96">
    <w:nsid w:val="32794FF7"/>
    <w:multiLevelType w:val="hybridMultilevel"/>
    <w:lvl w:ilvl="0">
      <w:lvlJc w:val="left"/>
      <w:lvlText w:val="•"/>
      <w:numFmt w:val="bullet"/>
      <w:start w:val="1"/>
    </w:lvl>
  </w:abstractNum>
  <w:abstractNum w:abstractNumId="97">
    <w:nsid w:val="5454945E"/>
    <w:multiLevelType w:val="hybridMultilevel"/>
    <w:lvl w:ilvl="0">
      <w:lvlJc w:val="left"/>
      <w:lvlText w:val="•"/>
      <w:numFmt w:val="bullet"/>
      <w:start w:val="1"/>
    </w:lvl>
  </w:abstractNum>
  <w:abstractNum w:abstractNumId="98">
    <w:nsid w:val="4DEFDFA0"/>
    <w:multiLevelType w:val="hybridMultilevel"/>
    <w:lvl w:ilvl="0">
      <w:lvlJc w:val="left"/>
      <w:lvlText w:val="•"/>
      <w:numFmt w:val="bullet"/>
      <w:start w:val="1"/>
    </w:lvl>
  </w:abstractNum>
  <w:abstractNum w:abstractNumId="99">
    <w:nsid w:val="2123D5F2"/>
    <w:multiLevelType w:val="hybridMultilevel"/>
    <w:lvl w:ilvl="0">
      <w:lvlJc w:val="left"/>
      <w:lvlText w:val="•"/>
      <w:numFmt w:val="bullet"/>
      <w:start w:val="1"/>
    </w:lvl>
  </w:abstractNum>
  <w:abstractNum w:abstractNumId="100">
    <w:nsid w:val="135B8110"/>
    <w:multiLevelType w:val="hybridMultilevel"/>
    <w:lvl w:ilvl="0">
      <w:lvlJc w:val="left"/>
      <w:lvlText w:val="%1."/>
      <w:numFmt w:val="decimal"/>
      <w:start w:val="1"/>
    </w:lvl>
  </w:abstractNum>
  <w:abstractNum w:abstractNumId="101">
    <w:nsid w:val="94927A8"/>
    <w:multiLevelType w:val="hybridMultilevel"/>
    <w:lvl w:ilvl="0">
      <w:lvlJc w:val="left"/>
      <w:lvlText w:val="%1."/>
      <w:numFmt w:val="decimal"/>
      <w:start w:val="2"/>
    </w:lvl>
  </w:abstractNum>
  <w:abstractNum w:abstractNumId="102">
    <w:nsid w:val="DCDF8F6"/>
    <w:multiLevelType w:val="hybridMultilevel"/>
    <w:lvl w:ilvl="0">
      <w:lvlJc w:val="left"/>
      <w:lvlText w:val="•"/>
      <w:numFmt w:val="bullet"/>
      <w:start w:val="1"/>
    </w:lvl>
  </w:abstractNum>
  <w:abstractNum w:abstractNumId="103">
    <w:nsid w:val="52D7B105"/>
    <w:multiLevelType w:val="hybridMultilevel"/>
    <w:lvl w:ilvl="0">
      <w:lvlJc w:val="left"/>
      <w:lvlText w:val="(%1)"/>
      <w:numFmt w:val="lowerRoman"/>
      <w:start w:val="5"/>
    </w:lvl>
  </w:abstractNum>
  <w:abstractNum w:abstractNumId="104">
    <w:nsid w:val="2E8A6394"/>
    <w:multiLevelType w:val="hybridMultilevel"/>
    <w:lvl w:ilvl="0">
      <w:lvlJc w:val="left"/>
      <w:lvlText w:val="%1."/>
      <w:numFmt w:val="decimal"/>
      <w:start w:val="3"/>
    </w:lvl>
  </w:abstractNum>
  <w:abstractNum w:abstractNumId="105">
    <w:nsid w:val="24E60401"/>
    <w:multiLevelType w:val="hybridMultilevel"/>
    <w:lvl w:ilvl="0">
      <w:lvlJc w:val="left"/>
      <w:lvlText w:val="%1."/>
      <w:numFmt w:val="decimal"/>
      <w:start w:val="4"/>
    </w:lvl>
  </w:abstractNum>
  <w:abstractNum w:abstractNumId="106">
    <w:nsid w:val="2A6AD9BE"/>
    <w:multiLevelType w:val="hybridMultilevel"/>
    <w:lvl w:ilvl="0">
      <w:lvlJc w:val="left"/>
      <w:lvlText w:val="%1."/>
      <w:numFmt w:val="decimal"/>
      <w:start w:val="5"/>
    </w:lvl>
  </w:abstractNum>
  <w:abstractNum w:abstractNumId="107">
    <w:nsid w:val="BAAC1B4"/>
    <w:multiLevelType w:val="hybridMultilevel"/>
    <w:lvl w:ilvl="0">
      <w:lvlJc w:val="left"/>
      <w:lvlText w:val="%1."/>
      <w:numFmt w:val="decimal"/>
      <w:start w:val="6"/>
    </w:lvl>
  </w:abstractNum>
  <w:abstractNum w:abstractNumId="108">
    <w:nsid w:val="36B2ACBC"/>
    <w:multiLevelType w:val="hybridMultilevel"/>
    <w:lvl w:ilvl="0">
      <w:lvlJc w:val="left"/>
      <w:lvlText w:val="%1."/>
      <w:numFmt w:val="decimal"/>
      <w:start w:val="7"/>
    </w:lvl>
  </w:abstractNum>
  <w:abstractNum w:abstractNumId="109">
    <w:nsid w:val="779D8544"/>
    <w:multiLevelType w:val="hybridMultilevel"/>
    <w:lvl w:ilvl="0">
      <w:lvlJc w:val="left"/>
      <w:lvlText w:val="%1."/>
      <w:numFmt w:val="decimal"/>
      <w:start w:val="8"/>
    </w:lvl>
  </w:abstractNum>
  <w:abstractNum w:abstractNumId="110">
    <w:nsid w:val="4AB26E78"/>
    <w:multiLevelType w:val="hybridMultilevel"/>
    <w:lvl w:ilvl="0">
      <w:lvlJc w:val="left"/>
      <w:lvlText w:val="%1."/>
      <w:numFmt w:val="decimal"/>
      <w:start w:val="9"/>
    </w:lvl>
  </w:abstractNum>
  <w:abstractNum w:abstractNumId="111">
    <w:nsid w:val="21FAA2FA"/>
    <w:multiLevelType w:val="hybridMultilevel"/>
    <w:lvl w:ilvl="0">
      <w:lvlJc w:val="left"/>
      <w:lvlText w:val="%1."/>
      <w:numFmt w:val="decimal"/>
      <w:start w:val="10"/>
    </w:lvl>
  </w:abstractNum>
  <w:abstractNum w:abstractNumId="112">
    <w:nsid w:val="5451CF49"/>
    <w:multiLevelType w:val="hybridMultilevel"/>
    <w:lvl w:ilvl="0">
      <w:lvlJc w:val="left"/>
      <w:lvlText w:val="(%1)"/>
      <w:numFmt w:val="decimal"/>
      <w:start w:val="1"/>
    </w:lvl>
  </w:abstractNum>
  <w:abstractNum w:abstractNumId="113">
    <w:nsid w:val="6181EF69"/>
    <w:multiLevelType w:val="hybridMultilevel"/>
    <w:lvl w:ilvl="0">
      <w:lvlJc w:val="left"/>
      <w:lvlText w:val="%1."/>
      <w:numFmt w:val="decimal"/>
      <w:start w:val="11"/>
    </w:lvl>
  </w:abstractNum>
  <w:abstractNum w:abstractNumId="114">
    <w:nsid w:val="3E6400E6"/>
    <w:multiLevelType w:val="hybridMultilevel"/>
    <w:lvl w:ilvl="0">
      <w:lvlJc w:val="left"/>
      <w:lvlText w:val="$"/>
      <w:numFmt w:val="bullet"/>
      <w:start w:val="1"/>
    </w:lvl>
  </w:abstractNum>
  <w:abstractNum w:abstractNumId="115">
    <w:nsid w:val="14217E23"/>
    <w:multiLevelType w:val="hybridMultilevel"/>
    <w:lvl w:ilvl="0">
      <w:lvlJc w:val="left"/>
      <w:lvlText w:val="$"/>
      <w:numFmt w:val="bullet"/>
      <w:start w:val="1"/>
    </w:lvl>
  </w:abstractNum>
  <w:abstractNum w:abstractNumId="116">
    <w:nsid w:val="710757D0"/>
    <w:multiLevelType w:val="hybridMultilevel"/>
    <w:lvl w:ilvl="0">
      <w:lvlJc w:val="left"/>
      <w:lvlText w:val="%1."/>
      <w:numFmt w:val="decimal"/>
      <w:start w:val="12"/>
    </w:lvl>
  </w:abstractNum>
  <w:abstractNum w:abstractNumId="117">
    <w:nsid w:val="5015CD1A"/>
    <w:multiLevelType w:val="hybridMultilevel"/>
    <w:lvl w:ilvl="0">
      <w:lvlJc w:val="left"/>
      <w:lvlText w:val="%1."/>
      <w:numFmt w:val="decimal"/>
      <w:start w:val="13"/>
    </w:lvl>
  </w:abstractNum>
  <w:abstractNum w:abstractNumId="118">
    <w:nsid w:val="424479DA"/>
    <w:multiLevelType w:val="hybridMultilevel"/>
    <w:lvl w:ilvl="0">
      <w:lvlJc w:val="left"/>
      <w:lvlText w:val="(%1)"/>
      <w:numFmt w:val="decimal"/>
      <w:start w:val="1"/>
    </w:lvl>
  </w:abstractNum>
  <w:abstractNum w:abstractNumId="119">
    <w:nsid w:val="1A9A9E69"/>
    <w:multiLevelType w:val="hybridMultilevel"/>
    <w:lvl w:ilvl="0">
      <w:lvlJc w:val="left"/>
      <w:lvlText w:val="$"/>
      <w:numFmt w:val="bullet"/>
      <w:start w:val="1"/>
    </w:lvl>
  </w:abstractNum>
  <w:abstractNum w:abstractNumId="120">
    <w:nsid w:val="475E256A"/>
    <w:multiLevelType w:val="hybridMultilevel"/>
    <w:lvl w:ilvl="0">
      <w:lvlJc w:val="left"/>
      <w:lvlText w:val="%1)"/>
      <w:numFmt w:val="decimal"/>
      <w:start w:val="1"/>
    </w:lvl>
  </w:abstractNum>
  <w:abstractNum w:abstractNumId="121">
    <w:nsid w:val="368DB37E"/>
    <w:multiLevelType w:val="hybridMultilevel"/>
    <w:lvl w:ilvl="0">
      <w:lvlJc w:val="left"/>
      <w:lvlText w:val="%1)"/>
      <w:numFmt w:val="decimal"/>
      <w:start w:val="11"/>
    </w:lvl>
  </w:abstractNum>
  <w:abstractNum w:abstractNumId="122">
    <w:nsid w:val="6A3B714C"/>
    <w:multiLevelType w:val="hybridMultilevel"/>
    <w:lvl w:ilvl="0">
      <w:lvlJc w:val="left"/>
      <w:lvlText w:val="%1)"/>
      <w:numFmt w:val="decimal"/>
      <w:start w:val="1"/>
    </w:lvl>
  </w:abstractNum>
  <w:abstractNum w:abstractNumId="123">
    <w:nsid w:val="327B517E"/>
    <w:multiLevelType w:val="hybridMultilevel"/>
    <w:lvl w:ilvl="0">
      <w:lvlJc w:val="left"/>
      <w:lvlText w:val="%1)"/>
      <w:numFmt w:val="decimal"/>
      <w:start w:val="2"/>
    </w:lvl>
  </w:abstractNum>
  <w:abstractNum w:abstractNumId="124">
    <w:nsid w:val="1F461B51"/>
    <w:multiLevelType w:val="hybridMultilevel"/>
    <w:lvl w:ilvl="0">
      <w:lvlJc w:val="left"/>
      <w:lvlText w:val="*"/>
      <w:numFmt w:val="bullet"/>
      <w:start w:val="1"/>
    </w:lvl>
  </w:abstractNum>
  <w:abstractNum w:abstractNumId="125">
    <w:nsid w:val="29BACF25"/>
    <w:multiLevelType w:val="hybridMultilevel"/>
    <w:lvl w:ilvl="0">
      <w:lvlJc w:val="left"/>
      <w:lvlText w:val="†"/>
      <w:numFmt w:val="bullet"/>
      <w:start w:val="1"/>
    </w:lvl>
  </w:abstractNum>
  <w:abstractNum w:abstractNumId="126">
    <w:nsid w:val="5D5BABB3"/>
    <w:multiLevelType w:val="hybridMultilevel"/>
    <w:lvl w:ilvl="0">
      <w:lvlJc w:val="left"/>
      <w:lvlText w:val="%1."/>
      <w:numFmt w:val="decimal"/>
      <w:start w:val="1"/>
    </w:lvl>
  </w:abstractNum>
  <w:abstractNum w:abstractNumId="127">
    <w:nsid w:val="51BF6B48"/>
    <w:multiLevelType w:val="hybridMultilevel"/>
    <w:lvl w:ilvl="0">
      <w:lvlJc w:val="left"/>
      <w:lvlText w:val="(%1)"/>
      <w:numFmt w:val="lowerLetter"/>
      <w:start w:val="1"/>
    </w:lvl>
    <w:lvl w:ilvl="1">
      <w:lvlJc w:val="left"/>
      <w:lvlText w:val="(%2)"/>
      <w:numFmt w:val="decimal"/>
      <w:start w:val="1"/>
    </w:lvl>
  </w:abstractNum>
  <w:abstractNum w:abstractNumId="128">
    <w:nsid w:val="7E0F6384"/>
    <w:multiLevelType w:val="hybridMultilevel"/>
    <w:lvl w:ilvl="0">
      <w:lvlJc w:val="left"/>
      <w:lvlText w:val="(%1)"/>
      <w:numFmt w:val="lowerLetter"/>
      <w:start w:val="3"/>
    </w:lvl>
  </w:abstractNum>
  <w:abstractNum w:abstractNumId="129">
    <w:nsid w:val="2B4B8B53"/>
    <w:multiLevelType w:val="hybridMultilevel"/>
    <w:lvl w:ilvl="0">
      <w:lvlJc w:val="left"/>
      <w:lvlText w:val="(%1)"/>
      <w:numFmt w:val="lowerLetter"/>
      <w:start w:val="1"/>
    </w:lvl>
  </w:abstractNum>
  <w:abstractNum w:abstractNumId="130">
    <w:nsid w:val="72E3413A"/>
    <w:multiLevelType w:val="hybridMultilevel"/>
    <w:lvl w:ilvl="0">
      <w:lvlJc w:val="left"/>
      <w:lvlText w:val="(%1)"/>
      <w:numFmt w:val="lowerLetter"/>
      <w:start w:val="3"/>
    </w:lvl>
  </w:abstractNum>
  <w:abstractNum w:abstractNumId="131">
    <w:nsid w:val="116AE494"/>
    <w:multiLevelType w:val="hybridMultilevel"/>
    <w:lvl w:ilvl="0">
      <w:lvlJc w:val="left"/>
      <w:lvlText w:val="(%1)"/>
      <w:numFmt w:val="lowerLetter"/>
      <w:start w:val="1"/>
    </w:lvl>
  </w:abstractNum>
  <w:abstractNum w:abstractNumId="132">
    <w:nsid w:val="3494B2FB"/>
    <w:multiLevelType w:val="hybridMultilevel"/>
    <w:lvl w:ilvl="0">
      <w:lvlJc w:val="left"/>
      <w:lvlText w:val="(%1)"/>
      <w:numFmt w:val="lowerLetter"/>
      <w:start w:val="2"/>
    </w:lvl>
  </w:abstractNum>
  <w:abstractNum w:abstractNumId="133">
    <w:nsid w:val="B13A31"/>
    <w:multiLevelType w:val="hybridMultilevel"/>
    <w:lvl w:ilvl="0">
      <w:lvlJc w:val="left"/>
      <w:lvlText w:val="(%1)"/>
      <w:numFmt w:val="lowerLetter"/>
      <w:start w:val="1"/>
    </w:lvl>
    <w:lvl w:ilvl="1">
      <w:lvlJc w:val="left"/>
      <w:lvlText w:val="(%2)"/>
      <w:numFmt w:val="decimal"/>
      <w:start w:val="1"/>
    </w:lvl>
  </w:abstractNum>
  <w:abstractNum w:abstractNumId="134">
    <w:nsid w:val="64429599"/>
    <w:multiLevelType w:val="hybridMultilevel"/>
    <w:lvl w:ilvl="0">
      <w:lvlJc w:val="left"/>
      <w:lvlText w:val="(%1)"/>
      <w:numFmt w:val="decimal"/>
      <w:start w:val="2"/>
    </w:lvl>
  </w:abstractNum>
  <w:abstractNum w:abstractNumId="135">
    <w:nsid w:val="631F1690"/>
    <w:multiLevelType w:val="hybridMultilevel"/>
    <w:lvl w:ilvl="0">
      <w:lvlJc w:val="left"/>
      <w:lvlText w:val="(%1)"/>
      <w:numFmt w:val="lowerLetter"/>
      <w:start w:val="4"/>
    </w:lvl>
  </w:abstractNum>
  <w:abstractNum w:abstractNumId="136">
    <w:nsid w:val="25973E32"/>
    <w:multiLevelType w:val="hybridMultilevel"/>
    <w:lvl w:ilvl="0">
      <w:lvlJc w:val="left"/>
      <w:lvlText w:val="(%1)"/>
      <w:numFmt w:val="lowerLetter"/>
      <w:start w:val="1"/>
    </w:lvl>
  </w:abstractNum>
  <w:abstractNum w:abstractNumId="137">
    <w:nsid w:val="EAD6F57"/>
    <w:multiLevelType w:val="hybridMultilevel"/>
    <w:lvl w:ilvl="0">
      <w:lvlJc w:val="left"/>
      <w:lvlText w:val="(%1)"/>
      <w:numFmt w:val="lowerLetter"/>
      <w:start w:val="4"/>
    </w:lvl>
  </w:abstractNum>
  <w:abstractNum w:abstractNumId="138">
    <w:nsid w:val="6EC9D844"/>
    <w:multiLevelType w:val="hybridMultilevel"/>
    <w:lvl w:ilvl="0">
      <w:lvlJc w:val="left"/>
      <w:lvlText w:val="(%1)"/>
      <w:numFmt w:val="lowerRoman"/>
      <w:start w:val="2"/>
    </w:lvl>
  </w:abstractNum>
  <w:abstractNum w:abstractNumId="139">
    <w:nsid w:val="5C49EAEE"/>
    <w:multiLevelType w:val="hybridMultilevel"/>
    <w:lvl w:ilvl="0">
      <w:lvlJc w:val="left"/>
      <w:lvlText w:val="%1"/>
      <w:numFmt w:val="lowerLetter"/>
      <w:start w:val="1"/>
    </w:lvl>
    <w:lvl w:ilvl="1">
      <w:lvlJc w:val="left"/>
      <w:lvlText w:val="(%2)"/>
      <w:numFmt w:val="lowerLetter"/>
      <w:start w:val="1"/>
    </w:lvl>
  </w:abstractNum>
  <w:abstractNum w:abstractNumId="140">
    <w:nsid w:val="64AF49B"/>
    <w:multiLevelType w:val="hybridMultilevel"/>
    <w:lvl w:ilvl="0">
      <w:lvlJc w:val="left"/>
      <w:lvlText w:val="(%1)"/>
      <w:numFmt w:val="lowerLetter"/>
      <w:start w:val="9"/>
    </w:lvl>
    <w:lvl w:ilvl="1">
      <w:lvlJc w:val="left"/>
      <w:lvlText w:val="%2"/>
      <w:numFmt w:val="lowerLetter"/>
      <w:start w:val="1"/>
    </w:lvl>
  </w:abstractNum>
  <w:abstractNum w:abstractNumId="141">
    <w:nsid w:val="397C46BC"/>
    <w:multiLevelType w:val="hybridMultilevel"/>
    <w:lvl w:ilvl="0">
      <w:lvlJc w:val="left"/>
      <w:lvlText w:val="(%1)"/>
      <w:numFmt w:val="lowerLetter"/>
      <w:start w:val="3"/>
    </w:lvl>
  </w:abstractNum>
  <w:abstractNum w:abstractNumId="142">
    <w:nsid w:val="7E448DE9"/>
    <w:multiLevelType w:val="hybridMultilevel"/>
    <w:lvl w:ilvl="0">
      <w:lvlJc w:val="left"/>
      <w:lvlText w:val="(%1)"/>
      <w:numFmt w:val="lowerLetter"/>
      <w:start w:val="1"/>
    </w:lvl>
    <w:lvl w:ilvl="1">
      <w:lvlJc w:val="left"/>
      <w:lvlText w:val="(%2)"/>
      <w:numFmt w:val="decimal"/>
      <w:start w:val="1"/>
    </w:lvl>
  </w:abstractNum>
  <w:abstractNum w:abstractNumId="143">
    <w:nsid w:val="5A9CC3E5"/>
    <w:multiLevelType w:val="hybridMultilevel"/>
    <w:lvl w:ilvl="0">
      <w:lvlJc w:val="left"/>
      <w:lvlText w:val="(%1)"/>
      <w:numFmt w:val="lowerLetter"/>
      <w:start w:val="1"/>
    </w:lvl>
  </w:abstractNum>
  <w:abstractNum w:abstractNumId="144">
    <w:nsid w:val="1AFE3625"/>
    <w:multiLevelType w:val="hybridMultilevel"/>
    <w:lvl w:ilvl="0">
      <w:lvlJc w:val="left"/>
      <w:lvlText w:val="(%1)"/>
      <w:numFmt w:val="lowerLetter"/>
      <w:start w:val="3"/>
    </w:lvl>
  </w:abstractNum>
  <w:abstractNum w:abstractNumId="145">
    <w:nsid w:val="3CA88ECF"/>
    <w:multiLevelType w:val="hybridMultilevel"/>
    <w:lvl w:ilvl="0">
      <w:lvlJc w:val="left"/>
      <w:lvlText w:val="(%1)"/>
      <w:numFmt w:val="lowerLetter"/>
      <w:start w:val="1"/>
    </w:lvl>
  </w:abstractNum>
  <w:abstractNum w:abstractNumId="146">
    <w:nsid w:val="6EBE4208"/>
    <w:multiLevelType w:val="hybridMultilevel"/>
    <w:lvl w:ilvl="0">
      <w:lvlJc w:val="left"/>
      <w:lvlText w:val="(%1)"/>
      <w:numFmt w:val="lowerLetter"/>
      <w:start w:val="1"/>
    </w:lvl>
  </w:abstractNum>
  <w:abstractNum w:abstractNumId="147">
    <w:nsid w:val="C058DF5"/>
    <w:multiLevelType w:val="hybridMultilevel"/>
    <w:lvl w:ilvl="0">
      <w:lvlJc w:val="left"/>
      <w:lvlText w:val="(%1)"/>
      <w:numFmt w:val="lowerLetter"/>
      <w:start w:val="1"/>
    </w:lvl>
  </w:abstractNum>
  <w:abstractNum w:abstractNumId="148">
    <w:nsid w:val="CBE5BE9"/>
    <w:multiLevelType w:val="hybridMultilevel"/>
    <w:lvl w:ilvl="0">
      <w:lvlJc w:val="left"/>
      <w:lvlText w:val="(%1)"/>
      <w:numFmt w:val="lowerLetter"/>
      <w:start w:val="4"/>
    </w:lvl>
  </w:abstractNum>
  <w:abstractNum w:abstractNumId="149">
    <w:nsid w:val="3102BBE2"/>
    <w:multiLevelType w:val="hybridMultilevel"/>
    <w:lvl w:ilvl="0">
      <w:lvlJc w:val="left"/>
      <w:lvlText w:val="(%1)"/>
      <w:numFmt w:val="lowerLetter"/>
      <w:start w:val="1"/>
    </w:lvl>
  </w:abstractNum>
  <w:abstractNum w:abstractNumId="150">
    <w:nsid w:val="26A02C5E"/>
    <w:multiLevelType w:val="hybridMultilevel"/>
    <w:lvl w:ilvl="0">
      <w:lvlJc w:val="left"/>
      <w:lvlText w:val="(%1)"/>
      <w:numFmt w:val="lowerLetter"/>
      <w:start w:val="3"/>
    </w:lvl>
  </w:abstractNum>
  <w:abstractNum w:abstractNumId="151">
    <w:nsid w:val="541C8153"/>
    <w:multiLevelType w:val="hybridMultilevel"/>
    <w:lvl w:ilvl="0">
      <w:lvlJc w:val="left"/>
      <w:lvlText w:val="(%1)"/>
      <w:numFmt w:val="lowerLetter"/>
      <w:start w:val="1"/>
    </w:lvl>
  </w:abstractNum>
  <w:abstractNum w:abstractNumId="152">
    <w:nsid w:val="67906F60"/>
    <w:multiLevelType w:val="hybridMultilevel"/>
    <w:lvl w:ilvl="0">
      <w:lvlJc w:val="left"/>
      <w:lvlText w:val="(%1)"/>
      <w:numFmt w:val="lowerLetter"/>
      <w:start w:val="3"/>
    </w:lvl>
  </w:abstractNum>
  <w:abstractNum w:abstractNumId="153">
    <w:nsid w:val="10DB9DAA"/>
    <w:multiLevelType w:val="hybridMultilevel"/>
    <w:lvl w:ilvl="0">
      <w:lvlJc w:val="left"/>
      <w:lvlText w:val="(%1)"/>
      <w:numFmt w:val="lowerLetter"/>
      <w:start w:val="1"/>
    </w:lvl>
  </w:abstractNum>
  <w:abstractNum w:abstractNumId="154">
    <w:nsid w:val="697D2D2"/>
    <w:multiLevelType w:val="hybridMultilevel"/>
    <w:lvl w:ilvl="0">
      <w:lvlJc w:val="left"/>
      <w:lvlText w:val="(%1)"/>
      <w:numFmt w:val="lowerLetter"/>
      <w:start w:val="5"/>
    </w:lvl>
    <w:lvl w:ilvl="1">
      <w:lvlJc w:val="left"/>
      <w:lvlText w:val="(%2)"/>
      <w:numFmt w:val="decimal"/>
      <w:start w:val="1"/>
    </w:lvl>
  </w:abstractNum>
  <w:abstractNum w:abstractNumId="155">
    <w:nsid w:val="6D68AB2"/>
    <w:multiLevelType w:val="hybridMultilevel"/>
    <w:lvl w:ilvl="0">
      <w:lvlJc w:val="left"/>
      <w:lvlText w:val="(%1)"/>
      <w:numFmt w:val="lowerLetter"/>
      <w:start w:val="7"/>
    </w:lvl>
    <w:lvl w:ilvl="1">
      <w:lvlJc w:val="left"/>
      <w:lvlText w:val="(%2)"/>
      <w:numFmt w:val="decimal"/>
      <w:start w:val="1"/>
    </w:lvl>
  </w:abstractNum>
  <w:abstractNum w:abstractNumId="156">
    <w:nsid w:val="3A966CD0"/>
    <w:multiLevelType w:val="hybridMultilevel"/>
    <w:lvl w:ilvl="0">
      <w:lvlJc w:val="left"/>
      <w:lvlText w:val="%1."/>
      <w:numFmt w:val="decimal"/>
      <w:start w:val="1"/>
    </w:lvl>
  </w:abstractNum>
  <w:abstractNum w:abstractNumId="157">
    <w:nsid w:val="63F37E85"/>
    <w:multiLevelType w:val="hybridMultilevel"/>
    <w:lvl w:ilvl="0">
      <w:lvlJc w:val="left"/>
      <w:lvlText w:val="%1."/>
      <w:numFmt w:val="decimal"/>
      <w:start w:val="1"/>
    </w:lvl>
    <w:lvl w:ilvl="1">
      <w:lvlJc w:val="left"/>
      <w:lvlText w:val="%2."/>
      <w:numFmt w:val="lowerLetter"/>
      <w:start w:val="1"/>
    </w:lvl>
  </w:abstractNum>
  <w:abstractNum w:abstractNumId="158">
    <w:nsid w:val="5895F5FA"/>
    <w:multiLevelType w:val="hybridMultilevel"/>
    <w:lvl w:ilvl="0">
      <w:lvlJc w:val="left"/>
      <w:lvlText w:val="%1."/>
      <w:numFmt w:val="decimal"/>
      <w:start w:val="3"/>
    </w:lvl>
    <w:lvl w:ilvl="1">
      <w:lvlJc w:val="left"/>
      <w:lvlText w:val="%2."/>
      <w:numFmt w:val="lowerLetter"/>
      <w:start w:val="1"/>
    </w:lvl>
  </w:abstractNum>
  <w:abstractNum w:abstractNumId="159">
    <w:nsid w:val="38A5D054"/>
    <w:multiLevelType w:val="hybridMultilevel"/>
    <w:lvl w:ilvl="0">
      <w:lvlJc w:val="left"/>
      <w:lvlText w:val="%1."/>
      <w:numFmt w:val="decimal"/>
      <w:start w:val="6"/>
    </w:lvl>
    <w:lvl w:ilvl="1">
      <w:lvlJc w:val="left"/>
      <w:lvlText w:val="%2."/>
      <w:numFmt w:val="lowerLetter"/>
      <w:start w:val="1"/>
    </w:lvl>
  </w:abstractNum>
  <w:abstractNum w:abstractNumId="160">
    <w:nsid w:val="F3F09D8"/>
    <w:multiLevelType w:val="hybridMultilevel"/>
    <w:lvl w:ilvl="0">
      <w:lvlJc w:val="left"/>
      <w:lvlText w:val="%1."/>
      <w:numFmt w:val="decimal"/>
      <w:start w:val="8"/>
    </w:lvl>
    <w:lvl w:ilvl="1">
      <w:lvlJc w:val="left"/>
      <w:lvlText w:val="%2"/>
      <w:numFmt w:val="lowerLetter"/>
      <w:start w:val="1"/>
    </w:lvl>
  </w:abstractNum>
  <w:abstractNum w:abstractNumId="161">
    <w:nsid w:val="4B793735"/>
    <w:multiLevelType w:val="hybridMultilevel"/>
    <w:lvl w:ilvl="0">
      <w:lvlJc w:val="left"/>
      <w:lvlText w:val="%1."/>
      <w:numFmt w:val="decimal"/>
      <w:start w:val="9"/>
    </w:lvl>
  </w:abstractNum>
  <w:abstractNum w:abstractNumId="162">
    <w:nsid w:val="4A10B4E8"/>
    <w:multiLevelType w:val="hybridMultilevel"/>
    <w:lvl w:ilvl="0">
      <w:lvlJc w:val="left"/>
      <w:lvlText w:val="(%1)"/>
      <w:numFmt w:val="lowerLetter"/>
      <w:start w:val="1"/>
    </w:lvl>
  </w:abstractNum>
  <w:abstractNum w:abstractNumId="163">
    <w:nsid w:val="43D3BCD4"/>
    <w:multiLevelType w:val="hybridMultilevel"/>
    <w:lvl w:ilvl="0">
      <w:lvlJc w:val="left"/>
      <w:lvlText w:val="%1."/>
      <w:numFmt w:val="decimal"/>
      <w:start w:val="10"/>
    </w:lvl>
  </w:abstractNum>
  <w:abstractNum w:abstractNumId="164">
    <w:nsid w:val="4C2A7166"/>
    <w:multiLevelType w:val="hybridMultilevel"/>
    <w:lvl w:ilvl="0">
      <w:lvlJc w:val="left"/>
      <w:lvlText w:val="%1."/>
      <w:numFmt w:val="decimal"/>
      <w:start w:val="11"/>
    </w:lvl>
  </w:abstractNum>
  <w:abstractNum w:abstractNumId="165">
    <w:nsid w:val="2E534A82"/>
    <w:multiLevelType w:val="hybridMultilevel"/>
    <w:lvl w:ilvl="0">
      <w:lvlJc w:val="left"/>
      <w:lvlText w:val="%1."/>
      <w:numFmt w:val="decimal"/>
      <w:start w:val="12"/>
    </w:lvl>
  </w:abstractNum>
  <w:abstractNum w:abstractNumId="166">
    <w:nsid w:val="26F2D364"/>
    <w:multiLevelType w:val="hybridMultilevel"/>
    <w:lvl w:ilvl="0">
      <w:lvlJc w:val="left"/>
      <w:lvlText w:val="%1."/>
      <w:numFmt w:val="decimal"/>
      <w:start w:val="13"/>
    </w:lvl>
  </w:abstractNum>
  <w:abstractNum w:abstractNumId="167">
    <w:nsid w:val="71C1AF98"/>
    <w:multiLevelType w:val="hybridMultilevel"/>
    <w:lvl w:ilvl="0">
      <w:lvlJc w:val="left"/>
      <w:lvlText w:val="%1."/>
      <w:numFmt w:val="decimal"/>
      <w:start w:val="14"/>
    </w:lvl>
  </w:abstractNum>
  <w:abstractNum w:abstractNumId="168">
    <w:nsid w:val="3D00B9D9"/>
    <w:multiLevelType w:val="hybridMultilevel"/>
    <w:lvl w:ilvl="0">
      <w:lvlJc w:val="left"/>
      <w:lvlText w:val="%1."/>
      <w:numFmt w:val="decimal"/>
      <w:start w:val="15"/>
    </w:lvl>
  </w:abstractNum>
  <w:abstractNum w:abstractNumId="169">
    <w:nsid w:val="15BCABA8"/>
    <w:multiLevelType w:val="hybridMultilevel"/>
    <w:lvl w:ilvl="0">
      <w:lvlJc w:val="left"/>
      <w:lvlText w:val="%1."/>
      <w:numFmt w:val="decimal"/>
      <w:start w:val="16"/>
    </w:lvl>
  </w:abstractNum>
  <w:abstractNum w:abstractNumId="170">
    <w:nsid w:val="4E0B9A87"/>
    <w:multiLevelType w:val="hybridMultilevel"/>
    <w:lvl w:ilvl="0">
      <w:lvlJc w:val="left"/>
      <w:lvlText w:val="%1."/>
      <w:numFmt w:val="decimal"/>
      <w:start w:val="17"/>
    </w:lvl>
  </w:abstractNum>
  <w:abstractNum w:abstractNumId="171">
    <w:nsid w:val="434BAE75"/>
    <w:multiLevelType w:val="hybridMultilevel"/>
    <w:lvl w:ilvl="0">
      <w:lvlJc w:val="left"/>
      <w:lvlText w:val="%1."/>
      <w:numFmt w:val="decimal"/>
      <w:start w:val="1"/>
    </w:lvl>
    <w:lvl w:ilvl="1">
      <w:lvlJc w:val="left"/>
      <w:lvlText w:val="%2."/>
      <w:numFmt w:val="lowerLetter"/>
      <w:start w:val="1"/>
    </w:lvl>
  </w:abstractNum>
  <w:abstractNum w:abstractNumId="172">
    <w:nsid w:val="4F38F265"/>
    <w:multiLevelType w:val="hybridMultilevel"/>
    <w:lvl w:ilvl="0">
      <w:lvlJc w:val="left"/>
      <w:lvlText w:val="%1."/>
      <w:numFmt w:val="decimal"/>
      <w:start w:val="3"/>
    </w:lvl>
    <w:lvl w:ilvl="1">
      <w:lvlJc w:val="left"/>
      <w:lvlText w:val="%2."/>
      <w:numFmt w:val="lowerLetter"/>
      <w:start w:val="1"/>
    </w:lvl>
  </w:abstractNum>
  <w:abstractNum w:abstractNumId="173">
    <w:nsid w:val="4C502870"/>
    <w:multiLevelType w:val="hybridMultilevel"/>
    <w:lvl w:ilvl="0">
      <w:lvlJc w:val="left"/>
      <w:lvlText w:val="%1."/>
      <w:numFmt w:val="decimal"/>
      <w:start w:val="6"/>
    </w:lvl>
    <w:lvl w:ilvl="1">
      <w:lvlJc w:val="left"/>
      <w:lvlText w:val="%2."/>
      <w:numFmt w:val="lowerLetter"/>
      <w:start w:val="1"/>
    </w:lvl>
  </w:abstractNum>
  <w:abstractNum w:abstractNumId="174">
    <w:nsid w:val="1DE8725A"/>
    <w:multiLevelType w:val="hybridMultilevel"/>
    <w:lvl w:ilvl="0">
      <w:lvlJc w:val="left"/>
      <w:lvlText w:val="%1."/>
      <w:numFmt w:val="decimal"/>
      <w:start w:val="8"/>
    </w:lvl>
    <w:lvl w:ilvl="1">
      <w:lvlJc w:val="left"/>
      <w:lvlText w:val="%2"/>
      <w:numFmt w:val="lowerLetter"/>
      <w:start w:val="1"/>
    </w:lvl>
  </w:abstractNum>
  <w:abstractNum w:abstractNumId="175">
    <w:nsid w:val="6A37288A"/>
    <w:multiLevelType w:val="hybridMultilevel"/>
    <w:lvl w:ilvl="0">
      <w:lvlJc w:val="left"/>
      <w:lvlText w:val="%1."/>
      <w:numFmt w:val="decimal"/>
      <w:start w:val="9"/>
    </w:lvl>
  </w:abstractNum>
  <w:abstractNum w:abstractNumId="176">
    <w:nsid w:val="8F8B73F"/>
    <w:multiLevelType w:val="hybridMultilevel"/>
    <w:lvl w:ilvl="0">
      <w:lvlJc w:val="left"/>
      <w:lvlText w:val="(%1)"/>
      <w:numFmt w:val="lowerLetter"/>
      <w:start w:val="1"/>
    </w:lvl>
  </w:abstractNum>
  <w:abstractNum w:abstractNumId="177">
    <w:nsid w:val="CA6B462"/>
    <w:multiLevelType w:val="hybridMultilevel"/>
    <w:lvl w:ilvl="0">
      <w:lvlJc w:val="left"/>
      <w:lvlText w:val="%1."/>
      <w:numFmt w:val="decimal"/>
      <w:start w:val="10"/>
    </w:lvl>
  </w:abstractNum>
  <w:abstractNum w:abstractNumId="178">
    <w:nsid w:val="763CB680"/>
    <w:multiLevelType w:val="hybridMultilevel"/>
    <w:lvl w:ilvl="0">
      <w:lvlJc w:val="left"/>
      <w:lvlText w:val="%1."/>
      <w:numFmt w:val="decimal"/>
      <w:start w:val="11"/>
    </w:lvl>
  </w:abstractNum>
  <w:abstractNum w:abstractNumId="179">
    <w:nsid w:val="15B71329"/>
    <w:multiLevelType w:val="hybridMultilevel"/>
    <w:lvl w:ilvl="0">
      <w:lvlJc w:val="left"/>
      <w:lvlText w:val="%1."/>
      <w:numFmt w:val="decimal"/>
      <w:start w:val="12"/>
    </w:lvl>
  </w:abstractNum>
  <w:abstractNum w:abstractNumId="180">
    <w:nsid w:val="3DA97044"/>
    <w:multiLevelType w:val="hybridMultilevel"/>
    <w:lvl w:ilvl="0">
      <w:lvlJc w:val="left"/>
      <w:lvlText w:val="%1."/>
      <w:numFmt w:val="decimal"/>
      <w:start w:val="13"/>
    </w:lvl>
  </w:abstractNum>
  <w:abstractNum w:abstractNumId="181">
    <w:nsid w:val="1CDCE2DE"/>
    <w:multiLevelType w:val="hybridMultilevel"/>
    <w:lvl w:ilvl="0">
      <w:lvlJc w:val="left"/>
      <w:lvlText w:val="%1."/>
      <w:numFmt w:val="decimal"/>
      <w:start w:val="14"/>
    </w:lvl>
  </w:abstractNum>
  <w:abstractNum w:abstractNumId="182">
    <w:nsid w:val="69D3947C"/>
    <w:multiLevelType w:val="hybridMultilevel"/>
    <w:lvl w:ilvl="0">
      <w:lvlJc w:val="left"/>
      <w:lvlText w:val="%1."/>
      <w:numFmt w:val="decimal"/>
      <w:start w:val="15"/>
    </w:lvl>
  </w:abstractNum>
  <w:abstractNum w:abstractNumId="183">
    <w:nsid w:val="2539DFA5"/>
    <w:multiLevelType w:val="hybridMultilevel"/>
    <w:lvl w:ilvl="0">
      <w:lvlJc w:val="left"/>
      <w:lvlText w:val="%1."/>
      <w:numFmt w:val="decimal"/>
      <w:start w:val="16"/>
    </w:lvl>
  </w:abstractNum>
  <w:abstractNum w:abstractNumId="184">
    <w:nsid w:val="2DB88089"/>
    <w:multiLevelType w:val="hybridMultilevel"/>
    <w:lvl w:ilvl="0">
      <w:lvlJc w:val="left"/>
      <w:lvlText w:val="%1."/>
      <w:numFmt w:val="decimal"/>
      <w:start w:val="17"/>
    </w:lvl>
  </w:abstractNum>
  <w:abstractNum w:abstractNumId="185">
    <w:nsid w:val="706B674E"/>
    <w:multiLevelType w:val="hybridMultilevel"/>
    <w:lvl w:ilvl="0">
      <w:lvlJc w:val="left"/>
      <w:lvlText w:val="%1."/>
      <w:numFmt w:val="decimal"/>
      <w:start w:val="1"/>
    </w:lvl>
    <w:lvl w:ilvl="1">
      <w:lvlJc w:val="left"/>
      <w:lvlText w:val="%2."/>
      <w:numFmt w:val="lowerLetter"/>
      <w:start w:val="1"/>
    </w:lvl>
  </w:abstractNum>
  <w:abstractNum w:abstractNumId="186">
    <w:nsid w:val="2C106A57"/>
    <w:multiLevelType w:val="hybridMultilevel"/>
    <w:lvl w:ilvl="0">
      <w:lvlJc w:val="left"/>
      <w:lvlText w:val="%1."/>
      <w:numFmt w:val="decimal"/>
      <w:start w:val="3"/>
    </w:lvl>
    <w:lvl w:ilvl="1">
      <w:lvlJc w:val="left"/>
      <w:lvlText w:val="%2."/>
      <w:numFmt w:val="lowerLetter"/>
      <w:start w:val="1"/>
    </w:lvl>
  </w:abstractNum>
  <w:abstractNum w:abstractNumId="187">
    <w:nsid w:val="684EED59"/>
    <w:multiLevelType w:val="hybridMultilevel"/>
    <w:lvl w:ilvl="0">
      <w:lvlJc w:val="left"/>
      <w:lvlText w:val="%1."/>
      <w:numFmt w:val="decimal"/>
      <w:start w:val="5"/>
    </w:lvl>
    <w:lvl w:ilvl="1">
      <w:lvlJc w:val="left"/>
      <w:lvlText w:val="%2."/>
      <w:numFmt w:val="lowerLetter"/>
      <w:start w:val="1"/>
    </w:lvl>
  </w:abstractNum>
  <w:abstractNum w:abstractNumId="188">
    <w:nsid w:val="545EE5D3"/>
    <w:multiLevelType w:val="hybridMultilevel"/>
    <w:lvl w:ilvl="0">
      <w:lvlJc w:val="left"/>
      <w:lvlText w:val="%1."/>
      <w:numFmt w:val="decimal"/>
      <w:start w:val="7"/>
    </w:lvl>
  </w:abstractNum>
  <w:abstractNum w:abstractNumId="189">
    <w:nsid w:val="4A66051"/>
    <w:multiLevelType w:val="hybridMultilevel"/>
    <w:lvl w:ilvl="0">
      <w:lvlJc w:val="left"/>
      <w:lvlText w:val="%1."/>
      <w:numFmt w:val="decimal"/>
      <w:start w:val="8"/>
    </w:lvl>
    <w:lvl w:ilvl="1">
      <w:lvlJc w:val="left"/>
      <w:lvlText w:val="%2."/>
      <w:numFmt w:val="lowerLetter"/>
      <w:start w:val="1"/>
    </w:lvl>
  </w:abstractNum>
  <w:abstractNum w:abstractNumId="190">
    <w:nsid w:val="20F4BDAD"/>
    <w:multiLevelType w:val="hybridMultilevel"/>
    <w:lvl w:ilvl="0">
      <w:lvlJc w:val="left"/>
      <w:lvlText w:val="%1."/>
      <w:numFmt w:val="decimal"/>
      <w:start w:val="9"/>
    </w:lvl>
  </w:abstractNum>
  <w:abstractNum w:abstractNumId="191">
    <w:nsid w:val="639DEFAC"/>
    <w:multiLevelType w:val="hybridMultilevel"/>
    <w:lvl w:ilvl="0">
      <w:lvlJc w:val="left"/>
      <w:lvlText w:val="(%1)"/>
      <w:numFmt w:val="lowerLetter"/>
      <w:start w:val="1"/>
    </w:lvl>
  </w:abstractNum>
  <w:abstractNum w:abstractNumId="192">
    <w:nsid w:val="501F9786"/>
    <w:multiLevelType w:val="hybridMultilevel"/>
    <w:lvl w:ilvl="0">
      <w:lvlJc w:val="left"/>
      <w:lvlText w:val="%1."/>
      <w:numFmt w:val="decimal"/>
      <w:start w:val="10"/>
    </w:lvl>
  </w:abstractNum>
  <w:abstractNum w:abstractNumId="193">
    <w:nsid w:val="6B057295"/>
    <w:multiLevelType w:val="hybridMultilevel"/>
    <w:lvl w:ilvl="0">
      <w:lvlJc w:val="left"/>
      <w:lvlText w:val="%1."/>
      <w:numFmt w:val="decimal"/>
      <w:start w:val="11"/>
    </w:lvl>
  </w:abstractNum>
  <w:abstractNum w:abstractNumId="194">
    <w:nsid w:val="2771AC80"/>
    <w:multiLevelType w:val="hybridMultilevel"/>
    <w:lvl w:ilvl="0">
      <w:lvlJc w:val="left"/>
      <w:lvlText w:val="%1."/>
      <w:numFmt w:val="decimal"/>
      <w:start w:val="12"/>
    </w:lvl>
  </w:abstractNum>
  <w:abstractNum w:abstractNumId="195">
    <w:nsid w:val="1C4A08EC"/>
    <w:multiLevelType w:val="hybridMultilevel"/>
    <w:lvl w:ilvl="0">
      <w:lvlJc w:val="left"/>
      <w:lvlText w:val="%1."/>
      <w:numFmt w:val="decimal"/>
      <w:start w:val="13"/>
    </w:lvl>
  </w:abstractNum>
  <w:abstractNum w:abstractNumId="196">
    <w:nsid w:val="1958BD17"/>
    <w:multiLevelType w:val="hybridMultilevel"/>
    <w:lvl w:ilvl="0">
      <w:lvlJc w:val="left"/>
      <w:lvlText w:val="%1."/>
      <w:numFmt w:val="decimal"/>
      <w:start w:val="14"/>
    </w:lvl>
  </w:abstractNum>
  <w:abstractNum w:abstractNumId="197">
    <w:nsid w:val="4E647FE4"/>
    <w:multiLevelType w:val="hybridMultilevel"/>
    <w:lvl w:ilvl="0">
      <w:lvlJc w:val="left"/>
      <w:lvlText w:val="%1."/>
      <w:numFmt w:val="decimal"/>
      <w:start w:val="15"/>
    </w:lvl>
  </w:abstractNum>
  <w:abstractNum w:abstractNumId="198">
    <w:nsid w:val="E0BB885"/>
    <w:multiLevelType w:val="hybridMultilevel"/>
    <w:lvl w:ilvl="0">
      <w:lvlJc w:val="left"/>
      <w:lvlText w:val="%1."/>
      <w:numFmt w:val="decimal"/>
      <w:start w:val="16"/>
    </w:lvl>
  </w:abstractNum>
  <w:abstractNum w:abstractNumId="199">
    <w:nsid w:val="565976F1"/>
    <w:multiLevelType w:val="hybridMultilevel"/>
    <w:lvl w:ilvl="0">
      <w:lvlJc w:val="left"/>
      <w:lvlText w:val="%1."/>
      <w:numFmt w:val="decimal"/>
      <w:start w:val="17"/>
    </w:lvl>
  </w:abstractNum>
  <w:abstractNum w:abstractNumId="200">
    <w:nsid w:val="64212B8C"/>
    <w:multiLevelType w:val="hybridMultilevel"/>
    <w:lvl w:ilvl="0">
      <w:lvlJc w:val="left"/>
      <w:lvlText w:val="%1."/>
      <w:numFmt w:val="upperLetter"/>
      <w:start w:val="1"/>
    </w:lvl>
  </w:abstractNum>
  <w:abstractNum w:abstractNumId="201">
    <w:nsid w:val="5C17530C"/>
    <w:multiLevelType w:val="hybridMultilevel"/>
    <w:lvl w:ilvl="0">
      <w:lvlJc w:val="left"/>
      <w:lvlText w:val="%1."/>
      <w:numFmt w:val="decimal"/>
      <w:start w:val="1"/>
    </w:lvl>
  </w:abstractNum>
  <w:abstractNum w:abstractNumId="202">
    <w:nsid w:val="19A52566"/>
    <w:multiLevelType w:val="hybridMultilevel"/>
    <w:lvl w:ilvl="0">
      <w:lvlJc w:val="left"/>
      <w:lvlText w:val="(%1)"/>
      <w:numFmt w:val="decimal"/>
      <w:start w:val="1"/>
    </w:lvl>
  </w:abstractNum>
  <w:abstractNum w:abstractNumId="203">
    <w:nsid w:val="335A1DF1"/>
    <w:multiLevelType w:val="hybridMultilevel"/>
    <w:lvl w:ilvl="0">
      <w:lvlJc w:val="left"/>
      <w:lvlText w:val="%1."/>
      <w:numFmt w:val="decimal"/>
      <w:start w:val="3"/>
    </w:lvl>
    <w:lvl w:ilvl="1">
      <w:lvlJc w:val="left"/>
      <w:lvlText w:val="%2"/>
      <w:numFmt w:val="upperLetter"/>
      <w:start w:val="1"/>
    </w:lvl>
  </w:abstractNum>
  <w:abstractNum w:abstractNumId="204">
    <w:nsid w:val="28677B7C"/>
    <w:multiLevelType w:val="hybridMultilevel"/>
    <w:lvl w:ilvl="0">
      <w:lvlJc w:val="left"/>
      <w:lvlText w:val="(%1)"/>
      <w:numFmt w:val="lowerRoman"/>
      <w:start w:val="1"/>
    </w:lvl>
  </w:abstractNum>
  <w:abstractNum w:abstractNumId="205">
    <w:nsid w:val="378D97C0"/>
    <w:multiLevelType w:val="hybridMultilevel"/>
    <w:lvl w:ilvl="0">
      <w:lvlJc w:val="left"/>
      <w:lvlText w:val="(%1)"/>
      <w:numFmt w:val="lowerRoman"/>
      <w:start w:val="2"/>
    </w:lvl>
    <w:lvl w:ilvl="1">
      <w:lvlJc w:val="left"/>
      <w:lvlText w:val="(%2)"/>
      <w:numFmt w:val="lowerLetter"/>
      <w:start w:val="1"/>
    </w:lvl>
  </w:abstractNum>
  <w:abstractNum w:abstractNumId="206">
    <w:nsid w:val="1D91467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207">
    <w:nsid w:val="316032BB"/>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08">
    <w:nsid w:val="44344C22"/>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09">
    <w:nsid w:val="13CDFCFC"/>
    <w:multiLevelType w:val="hybridMultilevel"/>
    <w:lvl w:ilvl="0">
      <w:lvlJc w:val="left"/>
      <w:lvlText w:val="(%1)"/>
      <w:numFmt w:val="decimal"/>
      <w:start w:val="1"/>
    </w:lvl>
  </w:abstractNum>
  <w:abstractNum w:abstractNumId="210">
    <w:nsid w:val="471745E4"/>
    <w:multiLevelType w:val="hybridMultilevel"/>
    <w:lvl w:ilvl="0">
      <w:lvlJc w:val="left"/>
      <w:lvlText w:val="%1"/>
      <w:numFmt w:val="upperLetter"/>
      <w:start w:val="1"/>
    </w:lvl>
    <w:lvl w:ilvl="1">
      <w:lvlJc w:val="left"/>
      <w:lvlText w:val="(%2)"/>
      <w:numFmt w:val="decimal"/>
      <w:start w:val="2"/>
    </w:lvl>
  </w:abstractNum>
  <w:abstractNum w:abstractNumId="211">
    <w:nsid w:val="1DDBC66"/>
    <w:multiLevelType w:val="hybridMultilevel"/>
    <w:lvl w:ilvl="0">
      <w:lvlJc w:val="left"/>
      <w:lvlText w:val="%1."/>
      <w:numFmt w:val="upperLetter"/>
      <w:start w:val="2"/>
    </w:lvl>
    <w:lvl w:ilvl="1">
      <w:lvlJc w:val="left"/>
      <w:lvlText w:val="(%2)"/>
      <w:numFmt w:val="decimal"/>
      <w:start w:val="1"/>
    </w:lvl>
  </w:abstractNum>
  <w:abstractNum w:abstractNumId="212">
    <w:nsid w:val="30AADFDA"/>
    <w:multiLevelType w:val="hybridMultilevel"/>
    <w:lvl w:ilvl="0">
      <w:lvlJc w:val="left"/>
      <w:lvlText w:val="%1"/>
      <w:numFmt w:val="upperLetter"/>
      <w:start w:val="1"/>
    </w:lvl>
    <w:lvl w:ilvl="1">
      <w:lvlJc w:val="left"/>
      <w:lvlText w:val="(%2)"/>
      <w:numFmt w:val="decimal"/>
      <w:start w:val="3"/>
    </w:lvl>
  </w:abstractNum>
  <w:abstractNum w:abstractNumId="213">
    <w:nsid w:val="30EADA61"/>
    <w:multiLevelType w:val="hybridMultilevel"/>
    <w:lvl w:ilvl="0">
      <w:lvlJc w:val="left"/>
      <w:lvlText w:val="%1."/>
      <w:numFmt w:val="upperLetter"/>
      <w:start w:val="3"/>
    </w:lvl>
    <w:lvl w:ilvl="1">
      <w:lvlJc w:val="left"/>
      <w:lvlText w:val="%2"/>
      <w:numFmt w:val="decimal"/>
      <w:start w:val="1"/>
    </w:lvl>
  </w:abstractNum>
  <w:abstractNum w:abstractNumId="214">
    <w:nsid w:val="27179C0B"/>
    <w:multiLevelType w:val="hybridMultilevel"/>
    <w:lvl w:ilvl="0">
      <w:lvlJc w:val="left"/>
      <w:lvlText w:val="(%1)"/>
      <w:numFmt w:val="decimal"/>
      <w:start w:val="24"/>
    </w:lvl>
    <w:lvl w:ilvl="1">
      <w:lvlJc w:val="left"/>
      <w:lvlText w:val="%2."/>
      <w:numFmt w:val="upperLetter"/>
      <w:start w:val="5"/>
    </w:lvl>
  </w:abstractNum>
  <w:abstractNum w:abstractNumId="215">
    <w:nsid w:val="5E636063"/>
    <w:multiLevelType w:val="hybridMultilevel"/>
    <w:lvl w:ilvl="0">
      <w:lvlJc w:val="left"/>
      <w:lvlText w:val="%1."/>
      <w:numFmt w:val="decimal"/>
      <w:start w:val="6"/>
    </w:lvl>
  </w:abstractNum>
  <w:abstractNum w:abstractNumId="216">
    <w:nsid w:val="215641AF"/>
    <w:multiLevelType w:val="hybridMultilevel"/>
    <w:lvl w:ilvl="0">
      <w:lvlJc w:val="left"/>
      <w:lvlText w:val="(%1)"/>
      <w:numFmt w:val="lowerLetter"/>
      <w:start w:val="1"/>
    </w:lvl>
  </w:abstractNum>
  <w:abstractNum w:abstractNumId="217">
    <w:nsid w:val="53280662"/>
    <w:multiLevelType w:val="hybridMultilevel"/>
    <w:lvl w:ilvl="0">
      <w:lvlJc w:val="left"/>
      <w:lvlText w:val="%1"/>
      <w:numFmt w:val="decimal"/>
      <w:start w:val="1"/>
    </w:lvl>
    <w:lvl w:ilvl="1">
      <w:lvlJc w:val="left"/>
      <w:lvlText w:val="(%2)"/>
      <w:numFmt w:val="lowerLetter"/>
      <w:start w:val="4"/>
    </w:lvl>
  </w:abstractNum>
  <w:abstractNum w:abstractNumId="218">
    <w:nsid w:val="46B24DBC"/>
    <w:multiLevelType w:val="hybridMultilevel"/>
    <w:lvl w:ilvl="0">
      <w:lvlJc w:val="left"/>
      <w:lvlText w:val="(%1)"/>
      <w:numFmt w:val="decimal"/>
      <w:start w:val="6"/>
    </w:lvl>
    <w:lvl w:ilvl="1">
      <w:lvlJc w:val="left"/>
      <w:lvlText w:val="(%2)"/>
      <w:numFmt w:val="lowerLetter"/>
      <w:start w:val="6"/>
    </w:lvl>
  </w:abstractNum>
  <w:abstractNum w:abstractNumId="219">
    <w:nsid w:val="75B52783"/>
    <w:multiLevelType w:val="hybridMultilevel"/>
    <w:lvl w:ilvl="0">
      <w:lvlJc w:val="left"/>
      <w:lvlText w:val="(%1)"/>
      <w:numFmt w:val="lowerLetter"/>
      <w:start w:val="1"/>
    </w:lvl>
  </w:abstractNum>
  <w:abstractNum w:abstractNumId="220">
    <w:nsid w:val="57CE66B4"/>
    <w:multiLevelType w:val="hybridMultilevel"/>
    <w:lvl w:ilvl="0">
      <w:lvlJc w:val="left"/>
      <w:lvlText w:val="(%1)"/>
      <w:numFmt w:val="lowerLetter"/>
      <w:start w:val="6"/>
    </w:lvl>
  </w:abstractNum>
  <w:abstractNum w:abstractNumId="221">
    <w:nsid w:val="67A70B69"/>
    <w:multiLevelType w:val="hybridMultilevel"/>
    <w:lvl w:ilvl="0">
      <w:lvlJc w:val="left"/>
      <w:lvlText w:val="%1."/>
      <w:numFmt w:val="decimal"/>
      <w:start w:val="10"/>
    </w:lvl>
    <w:lvl w:ilvl="1">
      <w:lvlJc w:val="left"/>
      <w:lvlText w:val="%2"/>
      <w:numFmt w:val="upperLetter"/>
      <w:start w:val="1"/>
    </w:lvl>
  </w:abstractNum>
  <w:abstractNum w:abstractNumId="222">
    <w:nsid w:val="5953172F"/>
    <w:multiLevelType w:val="hybridMultilevel"/>
    <w:lvl w:ilvl="0">
      <w:lvlJc w:val="left"/>
      <w:lvlText w:val="(%1)"/>
      <w:numFmt w:val="decimal"/>
      <w:start w:val="2"/>
    </w:lvl>
  </w:abstractNum>
  <w:abstractNum w:abstractNumId="223">
    <w:nsid w:val="27EDFE3A"/>
    <w:multiLevelType w:val="hybridMultilevel"/>
    <w:lvl w:ilvl="0">
      <w:lvlJc w:val="left"/>
      <w:lvlText w:val="%1"/>
      <w:numFmt w:val="decimal"/>
      <w:start w:val="1"/>
    </w:lvl>
    <w:lvl w:ilvl="1">
      <w:lvlJc w:val="left"/>
      <w:lvlText w:val="(%2)"/>
      <w:numFmt w:val="decimal"/>
      <w:start w:val="2"/>
    </w:lvl>
  </w:abstractNum>
  <w:abstractNum w:abstractNumId="224">
    <w:nsid w:val="52AC7DFF"/>
    <w:multiLevelType w:val="hybridMultilevel"/>
    <w:lvl w:ilvl="0">
      <w:lvlJc w:val="left"/>
      <w:lvlText w:val="%1."/>
      <w:numFmt w:val="decimal"/>
      <w:start w:val="11"/>
    </w:lvl>
    <w:lvl w:ilvl="1">
      <w:lvlJc w:val="left"/>
      <w:lvlText w:val="%2"/>
      <w:numFmt w:val="decimal"/>
      <w:start w:val="1"/>
    </w:lvl>
  </w:abstractNum>
  <w:abstractNum w:abstractNumId="225">
    <w:nsid w:val="C4C3AF"/>
    <w:multiLevelType w:val="hybridMultilevel"/>
    <w:lvl w:ilvl="0">
      <w:lvlJc w:val="left"/>
      <w:lvlText w:val="%1."/>
      <w:numFmt w:val="decimal"/>
      <w:start w:val="15"/>
    </w:lvl>
    <w:lvl w:ilvl="1">
      <w:lvlJc w:val="left"/>
      <w:lvlText w:val="%2"/>
      <w:numFmt w:val="upperLetter"/>
      <w:start w:val="1"/>
    </w:lvl>
  </w:abstractNum>
  <w:abstractNum w:abstractNumId="226">
    <w:nsid w:val="44380727"/>
    <w:multiLevelType w:val="hybridMultilevel"/>
    <w:lvl w:ilvl="0">
      <w:lvlJc w:val="left"/>
      <w:lvlText w:val="(%1)"/>
      <w:numFmt w:val="lowerRoman"/>
      <w:start w:val="2"/>
    </w:lvl>
  </w:abstractNum>
  <w:abstractNum w:abstractNumId="227">
    <w:nsid w:val="6C053B16"/>
    <w:multiLevelType w:val="hybridMultilevel"/>
    <w:lvl w:ilvl="0">
      <w:lvlJc w:val="left"/>
      <w:lvlText w:val="%1"/>
      <w:numFmt w:val="decimal"/>
      <w:start w:val="1"/>
    </w:lvl>
    <w:lvl w:ilvl="1">
      <w:lvlJc w:val="left"/>
      <w:lvlText w:val="(%2)"/>
      <w:numFmt w:val="lowerLetter"/>
      <w:start w:val="3"/>
    </w:lvl>
  </w:abstractNum>
  <w:abstractNum w:abstractNumId="228">
    <w:nsid w:val="4F294393"/>
    <w:multiLevelType w:val="hybridMultilevel"/>
    <w:lvl w:ilvl="0">
      <w:lvlJc w:val="left"/>
      <w:lvlText w:val="(%1)"/>
      <w:numFmt w:val="decimal"/>
      <w:start w:val="12"/>
    </w:lvl>
    <w:lvl w:ilvl="1">
      <w:lvlJc w:val="left"/>
      <w:lvlText w:val="%2"/>
      <w:numFmt w:val="lowerLetter"/>
      <w:start w:val="1"/>
    </w:lvl>
  </w:abstractNum>
  <w:abstractNum w:abstractNumId="229">
    <w:nsid w:val="5243BFAC"/>
    <w:multiLevelType w:val="hybridMultilevel"/>
    <w:lvl w:ilvl="0">
      <w:lvlJc w:val="left"/>
      <w:lvlText w:val="(%1)"/>
      <w:numFmt w:val="lowerLetter"/>
      <w:start w:val="1"/>
    </w:lvl>
  </w:abstractNum>
  <w:abstractNum w:abstractNumId="230">
    <w:nsid w:val="425EB207"/>
    <w:multiLevelType w:val="hybridMultilevel"/>
    <w:lvl w:ilvl="0">
      <w:lvlJc w:val="left"/>
      <w:lvlText w:val="(%1)"/>
      <w:numFmt w:val="lowerLetter"/>
      <w:start w:val="4"/>
    </w:lvl>
  </w:abstractNum>
  <w:abstractNum w:abstractNumId="231">
    <w:nsid w:val="334A6F1F"/>
    <w:multiLevelType w:val="hybridMultilevel"/>
    <w:lvl w:ilvl="0">
      <w:lvlJc w:val="left"/>
      <w:lvlText w:val="(%1)"/>
      <w:numFmt w:val="lowerLetter"/>
      <w:start w:val="8"/>
    </w:lvl>
  </w:abstractNum>
  <w:abstractNum w:abstractNumId="232">
    <w:nsid w:val="2E5B12B8"/>
    <w:multiLevelType w:val="hybridMultilevel"/>
    <w:lvl w:ilvl="0">
      <w:lvlJc w:val="left"/>
      <w:lvlText w:val="(%1)"/>
      <w:numFmt w:val="lowerLetter"/>
      <w:start w:val="1"/>
    </w:lvl>
  </w:abstractNum>
  <w:abstractNum w:abstractNumId="233">
    <w:nsid w:val="5C03D76D"/>
    <w:multiLevelType w:val="hybridMultilevel"/>
    <w:lvl w:ilvl="0">
      <w:lvlJc w:val="left"/>
      <w:lvlText w:val="(%1)"/>
      <w:numFmt w:val="lowerLetter"/>
      <w:start w:val="3"/>
    </w:lvl>
  </w:abstractNum>
  <w:abstractNum w:abstractNumId="234">
    <w:nsid w:val="66A48D11"/>
    <w:multiLevelType w:val="hybridMultilevel"/>
    <w:lvl w:ilvl="0">
      <w:lvlJc w:val="left"/>
      <w:lvlText w:val="%1."/>
      <w:numFmt w:val="decimal"/>
      <w:start w:val="23"/>
    </w:lvl>
    <w:lvl w:ilvl="1">
      <w:lvlJc w:val="left"/>
      <w:lvlText w:val="%2."/>
      <w:numFmt w:val="upperLetter"/>
      <w:start w:val="1"/>
    </w:lvl>
  </w:abstractNum>
  <w:abstractNum w:abstractNumId="235">
    <w:nsid w:val="56C28E34"/>
    <w:multiLevelType w:val="hybridMultilevel"/>
    <w:lvl w:ilvl="0">
      <w:lvlJc w:val="left"/>
      <w:lvlText w:val="%1."/>
      <w:numFmt w:val="decimal"/>
      <w:start w:val="25"/>
    </w:lvl>
    <w:lvl w:ilvl="1">
      <w:lvlJc w:val="left"/>
      <w:lvlText w:val="%2."/>
      <w:numFmt w:val="upperLetter"/>
      <w:start w:val="1"/>
    </w:lvl>
  </w:abstractNum>
  <w:abstractNum w:abstractNumId="236">
    <w:nsid w:val="13916F2D"/>
    <w:multiLevelType w:val="hybridMultilevel"/>
    <w:lvl w:ilvl="0">
      <w:lvlJc w:val="left"/>
      <w:lvlText w:val="%1."/>
      <w:numFmt w:val="decimal"/>
      <w:start w:val="1"/>
    </w:lvl>
  </w:abstractNum>
  <w:abstractNum w:abstractNumId="237">
    <w:nsid w:val="435D38D"/>
    <w:multiLevelType w:val="hybridMultilevel"/>
    <w:lvl w:ilvl="0">
      <w:lvlJc w:val="left"/>
      <w:lvlText w:val="%1."/>
      <w:numFmt w:val="decimal"/>
      <w:start w:val="4"/>
    </w:lvl>
  </w:abstractNum>
  <w:abstractNum w:abstractNumId="238">
    <w:nsid w:val="822C0EF"/>
    <w:multiLevelType w:val="hybridMultilevel"/>
    <w:lvl w:ilvl="0">
      <w:lvlJc w:val="left"/>
      <w:lvlText w:val="%1."/>
      <w:numFmt w:val="decimal"/>
      <w:start w:val="6"/>
    </w:lvl>
  </w:abstractNum>
  <w:abstractNum w:abstractNumId="239">
    <w:nsid w:val="57C5BB4F"/>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jpeg"/><Relationship Id="rId287" Type="http://schemas.openxmlformats.org/officeDocument/2006/relationships/image" Target="media/image277.png"/><Relationship Id="rId288" Type="http://schemas.openxmlformats.org/officeDocument/2006/relationships/image" Target="media/image278.jpe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251" Type="http://schemas.openxmlformats.org/officeDocument/2006/relationships/hyperlink" Target="http://www.sec.gov/Archives/edgar/data/1711279/000119312517263771/d403532dex31.htm" TargetMode="External"/><Relationship Id="rId252" Type="http://schemas.openxmlformats.org/officeDocument/2006/relationships/hyperlink" Target="http://www.sec.gov/Archives/edgar/data/1711279/000119312517263771/d403532dex109.htm" TargetMode="External"/><Relationship Id="rId253" Type="http://schemas.openxmlformats.org/officeDocument/2006/relationships/hyperlink" Target="http://www.sec.gov/Archives/edgar/data/1711279/000119312517263771/d403532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2019-12-08T08:32:30Z</dcterms:created>
  <dcterms:modified xsi:type="dcterms:W3CDTF">2019-12-08T08:32:30Z</dcterms:modified>
</cp:coreProperties>
</file>