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284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284210"/>
                    </a:xfrm>
                    <a:prstGeom prst="rect">
                      <a:avLst/>
                    </a:prstGeom>
                    <a:noFill/>
                  </pic:spPr>
                </pic:pic>
              </a:graphicData>
            </a:graphic>
          </wp:anchor>
        </w:drawing>
      </w:r>
    </w:p>
    <w:p>
      <w:pPr>
        <w:spacing w:after="0" w:line="1285" w:lineRule="exact"/>
        <w:rPr>
          <w:sz w:val="24"/>
          <w:szCs w:val="24"/>
          <w:color w:val="auto"/>
        </w:rPr>
      </w:pPr>
    </w:p>
    <w:p>
      <w:pPr>
        <w:sectPr>
          <w:pgSz w:w="11900" w:h="16936"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Krishnan Suma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KRYSTAL BIOTECH,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WHARTON STREET, SUITE 701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Krystal Biotech,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2" w:lineRule="exact"/>
        <w:rPr>
          <w:sz w:val="24"/>
          <w:szCs w:val="24"/>
          <w:color w:val="auto"/>
        </w:rPr>
      </w:pPr>
    </w:p>
    <w:p>
      <w:pPr>
        <w:sectPr>
          <w:pgSz w:w="11900" w:h="16936"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36"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jc w:val="center"/>
              <w:ind w:right="2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1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320</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300.75</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1,402,835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302.2508</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1,402,242</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303.1703</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1,401,995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304.8939</w:t>
            </w:r>
            <w:r>
              <w:rPr>
                <w:rFonts w:ascii="Times New Roman" w:cs="Times New Roman" w:eastAsia="Times New Roman" w:hAnsi="Times New Roman"/>
                <w:sz w:val="22"/>
                <w:szCs w:val="22"/>
                <w:color w:val="008000"/>
                <w:w w:val="95"/>
                <w:vertAlign w:val="superscript"/>
              </w:rPr>
              <w:t>(5)</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1,401,595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305.865</w:t>
            </w:r>
            <w:r>
              <w:rPr>
                <w:rFonts w:ascii="Times New Roman" w:cs="Times New Roman" w:eastAsia="Times New Roman" w:hAnsi="Times New Roman"/>
                <w:sz w:val="22"/>
                <w:szCs w:val="22"/>
                <w:color w:val="008000"/>
                <w:w w:val="95"/>
                <w:vertAlign w:val="superscript"/>
              </w:rPr>
              <w:t>(6)</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1,401,115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307.0948</w:t>
            </w:r>
            <w:r>
              <w:rPr>
                <w:rFonts w:ascii="Times New Roman" w:cs="Times New Roman" w:eastAsia="Times New Roman" w:hAnsi="Times New Roman"/>
                <w:sz w:val="22"/>
                <w:szCs w:val="22"/>
                <w:color w:val="008000"/>
                <w:w w:val="95"/>
                <w:vertAlign w:val="superscript"/>
              </w:rPr>
              <w:t>(7)</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1,399,767</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12,729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307.8066</w:t>
            </w:r>
            <w:r>
              <w:rPr>
                <w:rFonts w:ascii="Times New Roman" w:cs="Times New Roman" w:eastAsia="Times New Roman" w:hAnsi="Times New Roman"/>
                <w:sz w:val="22"/>
                <w:szCs w:val="22"/>
                <w:color w:val="008000"/>
                <w:w w:val="95"/>
                <w:vertAlign w:val="superscript"/>
              </w:rPr>
              <w:t>(8)</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1,387,038</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3,803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308.8898</w:t>
            </w:r>
            <w:r>
              <w:rPr>
                <w:rFonts w:ascii="Times New Roman" w:cs="Times New Roman" w:eastAsia="Times New Roman" w:hAnsi="Times New Roman"/>
                <w:sz w:val="22"/>
                <w:szCs w:val="22"/>
                <w:color w:val="008000"/>
                <w:w w:val="95"/>
                <w:vertAlign w:val="superscript"/>
              </w:rPr>
              <w:t>(9)</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1,383,235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309.9451</w:t>
            </w:r>
            <w:r>
              <w:rPr>
                <w:rFonts w:ascii="Times New Roman" w:cs="Times New Roman" w:eastAsia="Times New Roman" w:hAnsi="Times New Roman"/>
                <w:sz w:val="22"/>
                <w:szCs w:val="22"/>
                <w:color w:val="008000"/>
                <w:w w:val="96"/>
                <w:vertAlign w:val="superscript"/>
              </w:rPr>
              <w:t>(10)</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1,380,434</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2,039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310.937</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1,378,395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9"/>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311.65</w:t>
            </w:r>
            <w:r>
              <w:rPr>
                <w:rFonts w:ascii="Times New Roman" w:cs="Times New Roman" w:eastAsia="Times New Roman" w:hAnsi="Times New Roman"/>
                <w:sz w:val="22"/>
                <w:szCs w:val="22"/>
                <w:color w:val="008000"/>
                <w:w w:val="91"/>
                <w:vertAlign w:val="superscript"/>
              </w:rPr>
              <w:t>(12)</w:t>
            </w:r>
          </w:p>
        </w:tc>
        <w:tc>
          <w:tcPr>
            <w:tcW w:w="10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9"/>
              </w:rPr>
              <w:t>1,378,155</w:t>
            </w:r>
          </w:p>
        </w:tc>
        <w:tc>
          <w:tcPr>
            <w:tcW w:w="98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90,000</w:t>
            </w:r>
          </w:p>
        </w:tc>
        <w:tc>
          <w:tcPr>
            <w:tcW w:w="98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Krishnan</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r>
        <w:trPr>
          <w:trHeight w:val="93"/>
        </w:trPr>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rPr>
              <w:t>50,000</w:t>
            </w:r>
          </w:p>
        </w:tc>
        <w:tc>
          <w:tcPr>
            <w:tcW w:w="98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Krishnan</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may be deemed to beneficially own shares of the Issuer's common stock directly owned by the Reporting Person's spouse, Krish S. Krishnan. Such shares and transactions by the Reporting Person's spouse are not included in this Form 4, as they are being reported separately on a Form 4 filed by her spouse. The Reporting Person disclaims beneficial ownership of such shares</w:t>
      </w:r>
    </w:p>
    <w:p>
      <w:pPr>
        <w:sectPr>
          <w:pgSz w:w="11900" w:h="16936"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except to the extent of her pecuniary interest therein.</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were pursuant to a Rule 10b5-1 trading plan adopted by the Reporting Person on September 4, 2025. The Rule 10b5-1 trading plan started on December 4, 2025, and will terminate on December 4, 2026, or earlier in accordance with the terms of the Rule 10b5-1 trading plan, including upon completion of the sale of all of the shares of the Company's common stock subject to the Rule 10b5-1 trading plan.</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$302.05 to $303.01.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$303.05 to $303.77.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$304.07 to $304.98.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$305.19 to $306.00.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$306.38 to $307.37.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$307.38 to $308.37.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$308.38 to $309.36.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4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$309.43 to $310.38.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$310.44 to $311.41.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ranging from $311.50 to $311.77. The price reported above reflects the weighted average sale price. The Reporting Person hereby undertakes to provide upon request to the SEC staff, the issuer, or a security holder of the issuer, full information regarding the number of shares sold at each separate price within the range set forth herein.</w:t>
      </w:r>
    </w:p>
    <w:p>
      <w:pPr>
        <w:spacing w:after="0" w:line="7" w:lineRule="exact"/>
        <w:rPr>
          <w:rFonts w:ascii="Times New Roman" w:cs="Times New Roman" w:eastAsia="Times New Roman" w:hAnsi="Times New Roman"/>
          <w:sz w:val="13"/>
          <w:szCs w:val="13"/>
          <w:color w:val="008000"/>
        </w:rPr>
      </w:pPr>
    </w:p>
    <w:p>
      <w:pPr>
        <w:ind w:right="2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Krishnan Spousal Trust, an irrevocable trust established by Mr. Krishnan for the benefit of Mrs. Krishnan who serves as a co-trustee and shares voting and investment power with a 3rd party co-trustee.</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Krishnan Family Trust. The Reporting Person and her spouse are each joint beneficial owners of the trust with joint voting and investment control.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Suma M. Krishnan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98711" TargetMode="External"/><Relationship Id="rId14" Type="http://schemas.openxmlformats.org/officeDocument/2006/relationships/hyperlink" Target="http://www.sec.gov/cgi-bin/browse-edgar?action=getcompany&amp;CIK=0001711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2026-06-05T17:42:20Z</dcterms:created>
  <dcterms:modified xsi:type="dcterms:W3CDTF">2026-06-05T17:42:20Z</dcterms:modified>
</cp:coreProperties>
</file>