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423545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389255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190500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KRYSTAL BIOTECH, INC.</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2700" w:type="dxa"/>
            <w:vAlign w:val="bottom"/>
          </w:tcPr>
          <w:p>
            <w:pPr>
              <w:jc w:val="center"/>
              <w:ind w:lef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001-38210</w:t>
            </w:r>
          </w:p>
        </w:tc>
        <w:tc>
          <w:tcPr>
            <w:tcW w:w="26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82-1080209</w:t>
            </w:r>
          </w:p>
        </w:tc>
      </w:tr>
      <w:tr>
        <w:trPr>
          <w:trHeight w:val="146"/>
        </w:trPr>
        <w:tc>
          <w:tcPr>
            <w:tcW w:w="2700" w:type="dxa"/>
            <w:vAlign w:val="bottom"/>
          </w:tcPr>
          <w:p>
            <w:pPr>
              <w:jc w:val="center"/>
              <w:ind w:left="34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40" w:type="dxa"/>
            <w:vAlign w:val="bottom"/>
          </w:tcPr>
          <w:p>
            <w:pPr>
              <w:ind w:left="24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60" w:type="dxa"/>
            <w:vAlign w:val="bottom"/>
          </w:tcPr>
          <w:p>
            <w:pPr>
              <w:jc w:val="center"/>
              <w:ind w:right="4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4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87"/>
        </w:trPr>
        <w:tc>
          <w:tcPr>
            <w:tcW w:w="2700" w:type="dxa"/>
            <w:vAlign w:val="bottom"/>
          </w:tcPr>
          <w:p>
            <w:pPr>
              <w:spacing w:after="0"/>
              <w:rPr>
                <w:sz w:val="24"/>
                <w:szCs w:val="24"/>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2100 Wharton Street, Suite 701</w:t>
            </w:r>
          </w:p>
        </w:tc>
        <w:tc>
          <w:tcPr>
            <w:tcW w:w="2660" w:type="dxa"/>
            <w:vAlign w:val="bottom"/>
          </w:tcPr>
          <w:p>
            <w:pPr>
              <w:spacing w:after="0"/>
              <w:rPr>
                <w:sz w:val="24"/>
                <w:szCs w:val="24"/>
                <w:color w:val="auto"/>
              </w:rPr>
            </w:pPr>
          </w:p>
        </w:tc>
      </w:tr>
      <w:tr>
        <w:trPr>
          <w:trHeight w:val="214"/>
        </w:trPr>
        <w:tc>
          <w:tcPr>
            <w:tcW w:w="270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Pittsburgh, Pennsylvania 15203</w:t>
            </w:r>
          </w:p>
        </w:tc>
        <w:tc>
          <w:tcPr>
            <w:tcW w:w="2660" w:type="dxa"/>
            <w:vAlign w:val="bottom"/>
          </w:tcPr>
          <w:p>
            <w:pPr>
              <w:spacing w:after="0"/>
              <w:rPr>
                <w:sz w:val="18"/>
                <w:szCs w:val="18"/>
                <w:color w:val="auto"/>
              </w:rPr>
            </w:pPr>
          </w:p>
        </w:tc>
      </w:tr>
      <w:tr>
        <w:trPr>
          <w:trHeight w:val="178"/>
        </w:trPr>
        <w:tc>
          <w:tcPr>
            <w:tcW w:w="2700" w:type="dxa"/>
            <w:vAlign w:val="bottom"/>
          </w:tcPr>
          <w:p>
            <w:pPr>
              <w:spacing w:after="0"/>
              <w:rPr>
                <w:sz w:val="15"/>
                <w:szCs w:val="15"/>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660" w:type="dxa"/>
            <w:vAlign w:val="bottom"/>
          </w:tcPr>
          <w:p>
            <w:pPr>
              <w:spacing w:after="0"/>
              <w:rPr>
                <w:sz w:val="15"/>
                <w:szCs w:val="15"/>
                <w:color w:val="auto"/>
              </w:rPr>
            </w:pPr>
          </w:p>
        </w:tc>
      </w:tr>
      <w:tr>
        <w:trPr>
          <w:trHeight w:val="238"/>
        </w:trPr>
        <w:tc>
          <w:tcPr>
            <w:tcW w:w="270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(412) 586-5830</w:t>
            </w:r>
          </w:p>
        </w:tc>
        <w:tc>
          <w:tcPr>
            <w:tcW w:w="2660" w:type="dxa"/>
            <w:vAlign w:val="bottom"/>
          </w:tcPr>
          <w:p>
            <w:pPr>
              <w:spacing w:after="0"/>
              <w:rPr>
                <w:sz w:val="20"/>
                <w:szCs w:val="20"/>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KRYS</w:t>
            </w:r>
          </w:p>
        </w:tc>
        <w:tc>
          <w:tcPr>
            <w:tcW w:w="12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18, 2024, Krystal Biotech, Inc. (the “Company”) issued a press release announcing initial clinical results from its ongoing KYANITE-1 study evaluating inhaled KB707 in patients with solid tumors of the lung demonstrating early evidence of monotherapy activity in heavily pre-treated patients with advanced non-small cell lung cancer. A copy of the press release is attached hereto as Exhibit 99.1 and is incorporated by reference herein.</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in Exhibit 99.1 attached hereto shall not be (i) deemed to be “filed” for purposes of Section 18 of the Securities Exchange Act of 1934, as amended, or otherwise subject to the liabilities of that section, or (ii)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8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ind w:left="22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18, 2024</w:t>
      </w:r>
    </w:p>
    <w:p>
      <w:pPr>
        <w:spacing w:after="0" w:line="27" w:lineRule="exact"/>
        <w:rPr>
          <w:sz w:val="20"/>
          <w:szCs w:val="20"/>
          <w:color w:val="auto"/>
        </w:rPr>
      </w:pPr>
    </w:p>
    <w:p>
      <w:pPr>
        <w:ind w:left="240"/>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2024</w:t>
            </w:r>
          </w:p>
        </w:tc>
        <w:tc>
          <w:tcPr>
            <w:tcW w:w="70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KRYSTAL BIOTECH, INC.</w:t>
            </w:r>
          </w:p>
        </w:tc>
      </w:tr>
      <w:tr>
        <w:trPr>
          <w:trHeight w:val="499"/>
        </w:trPr>
        <w:tc>
          <w:tcPr>
            <w:tcW w:w="4180" w:type="dxa"/>
            <w:vAlign w:val="bottom"/>
          </w:tcPr>
          <w:p>
            <w:pPr>
              <w:spacing w:after="0"/>
              <w:rPr>
                <w:sz w:val="24"/>
                <w:szCs w:val="24"/>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 S. Krishnan</w:t>
            </w:r>
          </w:p>
        </w:tc>
      </w:tr>
      <w:tr>
        <w:trPr>
          <w:trHeight w:val="218"/>
        </w:trPr>
        <w:tc>
          <w:tcPr>
            <w:tcW w:w="4180" w:type="dxa"/>
            <w:vAlign w:val="bottom"/>
          </w:tcPr>
          <w:p>
            <w:pPr>
              <w:spacing w:after="0"/>
              <w:rPr>
                <w:sz w:val="18"/>
                <w:szCs w:val="18"/>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Krish S. Krishnan</w:t>
            </w:r>
          </w:p>
        </w:tc>
      </w:tr>
      <w:tr>
        <w:trPr>
          <w:trHeight w:val="234"/>
        </w:trPr>
        <w:tc>
          <w:tcPr>
            <w:tcW w:w="4180" w:type="dxa"/>
            <w:vAlign w:val="bottom"/>
          </w:tcPr>
          <w:p>
            <w:pPr>
              <w:spacing w:after="0"/>
              <w:rPr>
                <w:sz w:val="20"/>
                <w:szCs w:val="20"/>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center"/>
        <w:ind w:left="340" w:right="280"/>
        <w:spacing w:after="0" w:line="267" w:lineRule="auto"/>
        <w:rPr>
          <w:sz w:val="20"/>
          <w:szCs w:val="20"/>
          <w:color w:val="auto"/>
        </w:rPr>
      </w:pPr>
      <w:r>
        <w:rPr>
          <w:rFonts w:ascii="Calibri" w:cs="Calibri" w:eastAsia="Calibri" w:hAnsi="Calibri"/>
          <w:sz w:val="29"/>
          <w:szCs w:val="29"/>
          <w:b w:val="1"/>
          <w:bCs w:val="1"/>
          <w:color w:val="auto"/>
        </w:rPr>
        <w:t>Krystal Biotech Announces Early Evidence of Monotherapy Actvity in Heavily Pre-Treated Patents with Advanced Non-Small Cell Lung Cancer</w:t>
      </w: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Preliminary clinical data in post-ant-PD-1 NSCLC patents demonstrated a 27% ORR and 73% DCR in monotherapy trial</w:t>
      </w:r>
    </w:p>
    <w:p>
      <w:pPr>
        <w:spacing w:after="0" w:line="296" w:lineRule="exact"/>
        <w:rPr>
          <w:sz w:val="20"/>
          <w:szCs w:val="20"/>
          <w:color w:val="auto"/>
        </w:rPr>
      </w:pPr>
    </w:p>
    <w:p>
      <w:pPr>
        <w:jc w:val="center"/>
        <w:ind w:left="340" w:right="80"/>
        <w:spacing w:after="0" w:line="255" w:lineRule="auto"/>
        <w:rPr>
          <w:sz w:val="20"/>
          <w:szCs w:val="20"/>
          <w:color w:val="auto"/>
        </w:rPr>
      </w:pPr>
      <w:r>
        <w:rPr>
          <w:rFonts w:ascii="Calibri" w:cs="Calibri" w:eastAsia="Calibri" w:hAnsi="Calibri"/>
          <w:sz w:val="22"/>
          <w:szCs w:val="22"/>
          <w:i w:val="1"/>
          <w:iCs w:val="1"/>
          <w:color w:val="auto"/>
        </w:rPr>
        <w:t>Monotherapy actvity with inhaled KB707 provides further evidence of successful repeat administraton of HSV-1 based inhaled lung gene delivery and builds on recent clinical data update for CF and AAT defciency respiratory disease programs</w:t>
      </w:r>
    </w:p>
    <w:p>
      <w:pPr>
        <w:spacing w:after="0" w:line="266" w:lineRule="exact"/>
        <w:rPr>
          <w:sz w:val="20"/>
          <w:szCs w:val="20"/>
          <w:color w:val="auto"/>
        </w:rPr>
      </w:pPr>
    </w:p>
    <w:p>
      <w:pPr>
        <w:ind w:right="180"/>
        <w:spacing w:after="0" w:line="265" w:lineRule="auto"/>
        <w:rPr>
          <w:sz w:val="20"/>
          <w:szCs w:val="20"/>
          <w:color w:val="auto"/>
        </w:rPr>
      </w:pPr>
      <w:r>
        <w:rPr>
          <w:rFonts w:ascii="Calibri" w:cs="Calibri" w:eastAsia="Calibri" w:hAnsi="Calibri"/>
          <w:sz w:val="22"/>
          <w:szCs w:val="22"/>
          <w:color w:val="auto"/>
        </w:rPr>
        <w:t xml:space="preserve">PITTSBURGH, December 18, 2024 (GLOBE NEWSWIRE) – </w:t>
      </w:r>
      <w:r>
        <w:rPr>
          <w:rFonts w:ascii="Calibri" w:cs="Calibri" w:eastAsia="Calibri" w:hAnsi="Calibri"/>
          <w:sz w:val="22"/>
          <w:szCs w:val="22"/>
          <w:u w:val="single" w:color="auto"/>
          <w:color w:val="0000FF"/>
        </w:rPr>
        <w:t>Krystal Biotech, Inc.</w:t>
      </w:r>
      <w:r>
        <w:rPr>
          <w:rFonts w:ascii="Calibri" w:cs="Calibri" w:eastAsia="Calibri" w:hAnsi="Calibri"/>
          <w:sz w:val="22"/>
          <w:szCs w:val="22"/>
          <w:color w:val="auto"/>
        </w:rPr>
        <w:t xml:space="preserve"> (the “Company”) (NASDAQ: KRYS), a commercial-stage biotechnology company, announced today inital clinical results from its ongoing KYANITE-1 study evaluatng inhaled KB707 in patents with solid tumors of the lung. KB707 administered via inhalaton demonstrated early evidence of monotherapy actvity that was most pronounced in patents with advanced non-small cell lung cancer (NSCLC), where an objectve response rate (ORR) of 27% and disease control rate (DCR) of 73% were observed as of data cut-of on December 6, 2024.</w:t>
      </w:r>
    </w:p>
    <w:p>
      <w:pPr>
        <w:spacing w:after="0" w:line="259" w:lineRule="exact"/>
        <w:rPr>
          <w:sz w:val="20"/>
          <w:szCs w:val="20"/>
          <w:color w:val="auto"/>
        </w:rPr>
      </w:pPr>
    </w:p>
    <w:p>
      <w:pPr>
        <w:jc w:val="both"/>
        <w:ind w:right="280"/>
        <w:spacing w:after="0" w:line="266" w:lineRule="auto"/>
        <w:rPr>
          <w:sz w:val="20"/>
          <w:szCs w:val="20"/>
          <w:color w:val="auto"/>
        </w:rPr>
      </w:pPr>
      <w:r>
        <w:rPr>
          <w:rFonts w:ascii="Calibri" w:cs="Calibri" w:eastAsia="Calibri" w:hAnsi="Calibri"/>
          <w:sz w:val="22"/>
          <w:szCs w:val="22"/>
          <w:color w:val="auto"/>
        </w:rPr>
        <w:t>“The inhaled local delivery of cytokine that maximizes efcacy and limits systemic toxicity is truly innovatve,” said Wen Wee Ma, MBBS, Vice Chair of Research and Director of the Novel Cancer Therapeutcs Center at Cleveland Clinic. “To see potental beneft as a monotherapy in NSCLC patents who have progressed afer standard of care treatments is very encouraging and provides much needed hope.”</w:t>
      </w:r>
    </w:p>
    <w:p>
      <w:pPr>
        <w:spacing w:after="0" w:line="254" w:lineRule="exact"/>
        <w:rPr>
          <w:sz w:val="20"/>
          <w:szCs w:val="20"/>
          <w:color w:val="auto"/>
        </w:rPr>
      </w:pPr>
    </w:p>
    <w:p>
      <w:pPr>
        <w:ind w:right="200"/>
        <w:spacing w:after="0" w:line="254" w:lineRule="auto"/>
        <w:rPr>
          <w:sz w:val="20"/>
          <w:szCs w:val="20"/>
          <w:color w:val="auto"/>
        </w:rPr>
      </w:pPr>
      <w:r>
        <w:rPr>
          <w:rFonts w:ascii="Calibri" w:cs="Calibri" w:eastAsia="Calibri" w:hAnsi="Calibri"/>
          <w:sz w:val="21"/>
          <w:szCs w:val="21"/>
          <w:color w:val="auto"/>
        </w:rPr>
        <w:t>KYANITE-1 is an ongoing, open-label, multcenter, dose escalaton and expansion study evaluatng inhaled KB707 for the treatment of solid tumors of the lung. Treatments of either 10</w:t>
      </w:r>
      <w:r>
        <w:rPr>
          <w:rFonts w:ascii="Calibri" w:cs="Calibri" w:eastAsia="Calibri" w:hAnsi="Calibri"/>
          <w:sz w:val="27"/>
          <w:szCs w:val="27"/>
          <w:color w:val="auto"/>
          <w:vertAlign w:val="superscript"/>
        </w:rPr>
        <w:t>8</w:t>
      </w:r>
      <w:r>
        <w:rPr>
          <w:rFonts w:ascii="Calibri" w:cs="Calibri" w:eastAsia="Calibri" w:hAnsi="Calibri"/>
          <w:sz w:val="21"/>
          <w:szCs w:val="21"/>
          <w:color w:val="auto"/>
        </w:rPr>
        <w:t xml:space="preserve"> PFU or 10</w:t>
      </w:r>
      <w:r>
        <w:rPr>
          <w:rFonts w:ascii="Calibri" w:cs="Calibri" w:eastAsia="Calibri" w:hAnsi="Calibri"/>
          <w:sz w:val="27"/>
          <w:szCs w:val="27"/>
          <w:color w:val="auto"/>
          <w:vertAlign w:val="superscript"/>
        </w:rPr>
        <w:t>9</w:t>
      </w:r>
      <w:r>
        <w:rPr>
          <w:rFonts w:ascii="Calibri" w:cs="Calibri" w:eastAsia="Calibri" w:hAnsi="Calibri"/>
          <w:sz w:val="21"/>
          <w:szCs w:val="21"/>
          <w:color w:val="auto"/>
        </w:rPr>
        <w:t xml:space="preserve"> PFU of KB707 were evaluated in dose escalaton, following which 10</w:t>
      </w:r>
      <w:r>
        <w:rPr>
          <w:rFonts w:ascii="Calibri" w:cs="Calibri" w:eastAsia="Calibri" w:hAnsi="Calibri"/>
          <w:sz w:val="27"/>
          <w:szCs w:val="27"/>
          <w:color w:val="auto"/>
          <w:vertAlign w:val="superscript"/>
        </w:rPr>
        <w:t>9</w:t>
      </w:r>
      <w:r>
        <w:rPr>
          <w:rFonts w:ascii="Calibri" w:cs="Calibri" w:eastAsia="Calibri" w:hAnsi="Calibri"/>
          <w:sz w:val="21"/>
          <w:szCs w:val="21"/>
          <w:color w:val="auto"/>
        </w:rPr>
        <w:t xml:space="preserve"> PFU was selected for dose expansion. Frequency of KB707 administraton has been consistent throughout dose escalaton and expansion, with patents receiving KB707 via inhalaton once weekly for the frst three weeks, then once every three weeks. Trial objectves include evaluaton of safety, tolerability, and tumor response measured using RECIST v1.1 criteria. Additonal details of the KYANITE-1 study can be found at </w:t>
      </w:r>
      <w:r>
        <w:rPr>
          <w:rFonts w:ascii="Calibri" w:cs="Calibri" w:eastAsia="Calibri" w:hAnsi="Calibri"/>
          <w:sz w:val="21"/>
          <w:szCs w:val="21"/>
          <w:u w:val="single" w:color="auto"/>
          <w:color w:val="0000FF"/>
        </w:rPr>
        <w:t>www.clinicaltrials.gov</w:t>
      </w:r>
      <w:r>
        <w:rPr>
          <w:rFonts w:ascii="Calibri" w:cs="Calibri" w:eastAsia="Calibri" w:hAnsi="Calibri"/>
          <w:sz w:val="21"/>
          <w:szCs w:val="21"/>
          <w:color w:val="auto"/>
        </w:rPr>
        <w:t xml:space="preserve"> under NCT identfer NCT06228326.</w:t>
      </w:r>
    </w:p>
    <w:p>
      <w:pPr>
        <w:spacing w:after="0" w:line="269" w:lineRule="exact"/>
        <w:rPr>
          <w:sz w:val="20"/>
          <w:szCs w:val="20"/>
          <w:color w:val="auto"/>
        </w:rPr>
      </w:pPr>
    </w:p>
    <w:p>
      <w:pPr>
        <w:spacing w:after="0" w:line="260" w:lineRule="auto"/>
        <w:rPr>
          <w:sz w:val="20"/>
          <w:szCs w:val="20"/>
          <w:color w:val="auto"/>
        </w:rPr>
      </w:pPr>
      <w:r>
        <w:rPr>
          <w:rFonts w:ascii="Calibri" w:cs="Calibri" w:eastAsia="Calibri" w:hAnsi="Calibri"/>
          <w:sz w:val="22"/>
          <w:szCs w:val="22"/>
          <w:color w:val="auto"/>
        </w:rPr>
        <w:t>The frst patent in KYANITE-1 was dosed on April 17, 2024. A total of 37 patents were enrolled and received at least one dose of inhaled KB707, including 17 patents with a diagnosis of advanced NSCLC. All patents had malignant lesions in the lung at baseline.</w:t>
      </w:r>
    </w:p>
    <w:p>
      <w:pPr>
        <w:sectPr>
          <w:pgSz w:w="11900" w:h="16838" w:orient="portrait"/>
          <w:cols w:equalWidth="0" w:num="1">
            <w:col w:w="11220"/>
          </w:cols>
          <w:pgMar w:left="320" w:top="1432" w:right="359" w:bottom="1440" w:gutter="0" w:footer="0" w:header="0"/>
        </w:sectPr>
      </w:pPr>
    </w:p>
    <w:bookmarkStart w:id="4" w:name="page5"/>
    <w:bookmarkEnd w:id="4"/>
    <w:p>
      <w:pPr>
        <w:spacing w:after="0" w:line="238" w:lineRule="exact"/>
        <w:rPr>
          <w:sz w:val="20"/>
          <w:szCs w:val="20"/>
          <w:color w:val="auto"/>
        </w:rPr>
      </w:pPr>
    </w:p>
    <w:p>
      <w:pPr>
        <w:ind w:right="140"/>
        <w:spacing w:after="0" w:line="278" w:lineRule="auto"/>
        <w:rPr>
          <w:sz w:val="20"/>
          <w:szCs w:val="20"/>
          <w:color w:val="auto"/>
        </w:rPr>
      </w:pPr>
      <w:r>
        <w:rPr>
          <w:rFonts w:ascii="Calibri" w:cs="Calibri" w:eastAsia="Calibri" w:hAnsi="Calibri"/>
          <w:sz w:val="21"/>
          <w:szCs w:val="21"/>
          <w:color w:val="auto"/>
        </w:rPr>
        <w:t>Inhaled KB707 has been safe and generally well tolerated to date in this diverse, heavily pre-treated patent populaton with advanced disease, and amenable to administraton in an outpatent setng. Treatment-emergent adverse events have been predictable and consistent with both the underlying disease and known adverse event profles of interleukin-2 and interleukin-</w:t>
      </w:r>
    </w:p>
    <w:p>
      <w:pPr>
        <w:spacing w:after="0" w:line="14" w:lineRule="exact"/>
        <w:rPr>
          <w:sz w:val="20"/>
          <w:szCs w:val="20"/>
          <w:color w:val="auto"/>
        </w:rPr>
      </w:pPr>
    </w:p>
    <w:p>
      <w:pPr>
        <w:ind w:right="140" w:firstLine="8"/>
        <w:spacing w:after="0" w:line="255" w:lineRule="auto"/>
        <w:tabs>
          <w:tab w:leader="none" w:pos="322" w:val="left"/>
        </w:tabs>
        <w:numPr>
          <w:ilvl w:val="0"/>
          <w:numId w:val="2"/>
        </w:numPr>
        <w:rPr>
          <w:rFonts w:ascii="Calibri" w:cs="Calibri" w:eastAsia="Calibri" w:hAnsi="Calibri"/>
          <w:sz w:val="22"/>
          <w:szCs w:val="22"/>
          <w:color w:val="auto"/>
        </w:rPr>
      </w:pPr>
      <w:r>
        <w:rPr>
          <w:rFonts w:ascii="Calibri" w:cs="Calibri" w:eastAsia="Calibri" w:hAnsi="Calibri"/>
          <w:sz w:val="22"/>
          <w:szCs w:val="22"/>
          <w:color w:val="auto"/>
        </w:rPr>
        <w:t>The majority of treatment-related adverse events have been mild to moderate in severity and transient, with no Grade 4 or 5 adverse events observed.</w:t>
      </w:r>
    </w:p>
    <w:p>
      <w:pPr>
        <w:spacing w:after="0" w:line="266" w:lineRule="exact"/>
        <w:rPr>
          <w:sz w:val="20"/>
          <w:szCs w:val="20"/>
          <w:color w:val="auto"/>
        </w:rPr>
      </w:pPr>
    </w:p>
    <w:p>
      <w:pPr>
        <w:ind w:right="400"/>
        <w:spacing w:after="0" w:line="265" w:lineRule="auto"/>
        <w:rPr>
          <w:sz w:val="20"/>
          <w:szCs w:val="20"/>
          <w:color w:val="auto"/>
        </w:rPr>
      </w:pPr>
      <w:r>
        <w:rPr>
          <w:rFonts w:ascii="Calibri" w:cs="Calibri" w:eastAsia="Calibri" w:hAnsi="Calibri"/>
          <w:sz w:val="22"/>
          <w:szCs w:val="22"/>
          <w:color w:val="auto"/>
        </w:rPr>
        <w:t>Clinical actvity observed to date in the KYANITE-1 study has shown the most therapeutc beneft in patents with advanced NSCLC. As of the data cut-of, 11 NSCLC patents were evaluable for response with at least one radiographic scan and RECIST v1.1 evaluaton. Patents included in the analysis were heavily pre-treated with 4 median lines of prior therapy and all had received at least one line of prior immunotherapy. In this NSCLC patent analysis cohort, an ORR of 27%, with three partal responses, has been achieved. DCR to date has been 73% with 7 out of 11 patents stll remaining on treatment. Duraton of treatment for patents included in the analysis ranged from 10.3 to 33.3 weeks as of data cut-of.</w:t>
      </w:r>
    </w:p>
    <w:p>
      <w:pPr>
        <w:spacing w:after="0" w:line="273" w:lineRule="exact"/>
        <w:rPr>
          <w:sz w:val="20"/>
          <w:szCs w:val="20"/>
          <w:color w:val="auto"/>
        </w:rPr>
      </w:pPr>
    </w:p>
    <w:p>
      <w:pPr>
        <w:ind w:right="60"/>
        <w:spacing w:after="0" w:line="259" w:lineRule="auto"/>
        <w:rPr>
          <w:sz w:val="20"/>
          <w:szCs w:val="20"/>
          <w:color w:val="auto"/>
        </w:rPr>
      </w:pPr>
      <w:r>
        <w:rPr>
          <w:rFonts w:ascii="Calibri" w:cs="Calibri" w:eastAsia="Calibri" w:hAnsi="Calibri"/>
          <w:sz w:val="22"/>
          <w:szCs w:val="22"/>
          <w:color w:val="auto"/>
        </w:rPr>
        <w:t>In additon to preliminary evidence of abscopal efect and treatment beneft outside of the lung, treatment responses in lesions of the lung were especially notable. Among the same 11 evaluable NSCLC patents, the ORR in target lung lesions specifcally was 36%, with three partal responses and one complete response, and DCR was 82%.</w:t>
      </w:r>
    </w:p>
    <w:p>
      <w:pPr>
        <w:spacing w:after="0" w:line="238" w:lineRule="exact"/>
        <w:rPr>
          <w:sz w:val="20"/>
          <w:szCs w:val="20"/>
          <w:color w:val="auto"/>
        </w:rPr>
      </w:pPr>
    </w:p>
    <w:p>
      <w:pPr>
        <w:spacing w:after="0" w:line="265" w:lineRule="auto"/>
        <w:rPr>
          <w:sz w:val="20"/>
          <w:szCs w:val="20"/>
          <w:color w:val="auto"/>
        </w:rPr>
      </w:pPr>
      <w:r>
        <w:rPr>
          <w:rFonts w:ascii="Calibri" w:cs="Calibri" w:eastAsia="Calibri" w:hAnsi="Calibri"/>
          <w:sz w:val="22"/>
          <w:szCs w:val="22"/>
          <w:color w:val="auto"/>
        </w:rPr>
        <w:t>“Signals of monotherapy actvity with inhaled KB707, although early, are an excitng milestone for our program and highlight the signifcant potental of our vectorized cytokine approach in the treatment of difcult cancers,” said Suma Krishnan, President of Research and Development of Krystal Biotech. “These data add to a rapidly growing clinical dataset, generated across multple programs and patent populatons, demonstratng that our HSV-1 platorm can safely and repeatedly deliver functonal genetc material to the lung and impact the course of disease. We are excited about the implicatons for our platorm and the prospect of delivering meaningful clinical beneft to patents sufering from rare and serious lung diseases.”</w:t>
      </w:r>
    </w:p>
    <w:p>
      <w:pPr>
        <w:spacing w:after="0" w:line="273" w:lineRule="exact"/>
        <w:rPr>
          <w:sz w:val="20"/>
          <w:szCs w:val="20"/>
          <w:color w:val="auto"/>
        </w:rPr>
      </w:pPr>
    </w:p>
    <w:p>
      <w:pPr>
        <w:ind w:right="40"/>
        <w:spacing w:after="0" w:line="262" w:lineRule="auto"/>
        <w:rPr>
          <w:sz w:val="20"/>
          <w:szCs w:val="20"/>
          <w:color w:val="auto"/>
        </w:rPr>
      </w:pPr>
      <w:r>
        <w:rPr>
          <w:rFonts w:ascii="Calibri" w:cs="Calibri" w:eastAsia="Calibri" w:hAnsi="Calibri"/>
          <w:sz w:val="22"/>
          <w:szCs w:val="22"/>
          <w:color w:val="auto"/>
        </w:rPr>
        <w:t>Based on positve inital results in monotherapy, the Company has amended the KYANITE-1 protocol to add two cohorts evaluatng inhaled KB707 for the treatment of advanced NSCLC in combinaton with either ant-programmed cell death protein 1 (PD-1) therapy or ant-PD-1 therapy and chemotherapy. No patents have been enrolled in the combinaton expansion cohorts to date.</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color w:val="auto"/>
        </w:rPr>
        <w:t>The Company expects to disclose detailed and updated results of KYANITE-1 at future scientfc conference(s).</w:t>
      </w:r>
    </w:p>
    <w:p>
      <w:pPr>
        <w:spacing w:after="0" w:line="38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IL-2, IL-12, and KB707</w:t>
      </w:r>
    </w:p>
    <w:p>
      <w:pPr>
        <w:spacing w:after="0" w:line="147" w:lineRule="exact"/>
        <w:rPr>
          <w:sz w:val="20"/>
          <w:szCs w:val="20"/>
          <w:color w:val="auto"/>
        </w:rPr>
      </w:pPr>
    </w:p>
    <w:p>
      <w:pPr>
        <w:ind w:right="300"/>
        <w:spacing w:after="0" w:line="282" w:lineRule="auto"/>
        <w:rPr>
          <w:sz w:val="20"/>
          <w:szCs w:val="20"/>
          <w:color w:val="auto"/>
        </w:rPr>
      </w:pPr>
      <w:r>
        <w:rPr>
          <w:rFonts w:ascii="Calibri" w:cs="Calibri" w:eastAsia="Calibri" w:hAnsi="Calibri"/>
          <w:sz w:val="21"/>
          <w:szCs w:val="21"/>
          <w:color w:val="auto"/>
        </w:rPr>
        <w:t>IL-2 and IL-12 are secreted cytokines with complementary functons promotng cell-mediated immunity in humans. Both IL-2 and IL-12 have been shown to elicit ant-tumor immune responses in preclinical or clinical models and have been extensively studied for their potental in cancer immunotherapy. Despite promising signs of efcacy, it has proven difcult to efectvely harness IL-2 and IL-12 for therapeutc beneft, as systemic administraton is ofen poorly tolerated, and their inherently short half-lives necessitate high dose levels and extremely frequent dose intervals. KB707 is a modifed HSV-1 vector designed to deliver genes encoding both human IL-12 and IL-2 directly to a patent’s tumor(s) and promote systemic immune-mediated tumor clearance. KB707 targets solid tumors that are accessible via intratumoral injecton or inhalaton.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Krystal Biotech, Inc.</w:t>
      </w:r>
    </w:p>
    <w:p>
      <w:pPr>
        <w:spacing w:after="0" w:line="147" w:lineRule="exact"/>
        <w:rPr>
          <w:sz w:val="20"/>
          <w:szCs w:val="20"/>
          <w:color w:val="auto"/>
        </w:rPr>
      </w:pPr>
    </w:p>
    <w:p>
      <w:pPr>
        <w:spacing w:after="0" w:line="267" w:lineRule="auto"/>
        <w:rPr>
          <w:sz w:val="20"/>
          <w:szCs w:val="20"/>
          <w:color w:val="auto"/>
        </w:rPr>
      </w:pPr>
      <w:r>
        <w:rPr>
          <w:rFonts w:ascii="Calibri" w:cs="Calibri" w:eastAsia="Calibri" w:hAnsi="Calibri"/>
          <w:sz w:val="22"/>
          <w:szCs w:val="22"/>
          <w:color w:val="auto"/>
        </w:rPr>
        <w:t xml:space="preserve">Krystal Biotech, Inc. (NASDAQ: KRYS) is a commercial-stage biotechnology company focused on the discovery, development and commercializaton of genetc medicines to treat diseases with high unmet medical needs. VYJUVEK® is the Company’s frst commercial product, the frst-ever redosable gene therapy, and the frst medicine approved by the FDA for the treatment of dystrophic epidermolysis bullosa. The Company is rapidly advancing a robust preclinical and clinical pipeline of investgatonal genetc medicines in respiratory, oncology, dermatology, ophthalmology, and aesthetcs. Krystal Biotech is headquartered in Pitsburgh, Pennsylvania. For more informaton, please visit </w:t>
      </w:r>
      <w:r>
        <w:rPr>
          <w:rFonts w:ascii="Calibri" w:cs="Calibri" w:eastAsia="Calibri" w:hAnsi="Calibri"/>
          <w:sz w:val="22"/>
          <w:szCs w:val="22"/>
          <w:u w:val="single" w:color="auto"/>
          <w:color w:val="0000FF"/>
        </w:rPr>
        <w:t>htp://www.krystalbio.com</w:t>
      </w:r>
      <w:r>
        <w:rPr>
          <w:rFonts w:ascii="Calibri" w:cs="Calibri" w:eastAsia="Calibri" w:hAnsi="Calibri"/>
          <w:sz w:val="22"/>
          <w:szCs w:val="22"/>
          <w:color w:val="auto"/>
        </w:rPr>
        <w:t xml:space="preserve">, and follow @KrystalBiotech on </w:t>
      </w:r>
      <w:r>
        <w:rPr>
          <w:rFonts w:ascii="Calibri" w:cs="Calibri" w:eastAsia="Calibri" w:hAnsi="Calibri"/>
          <w:sz w:val="22"/>
          <w:szCs w:val="22"/>
          <w:u w:val="single" w:color="auto"/>
          <w:color w:val="0000FF"/>
        </w:rPr>
        <w:t>LinkedIn</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0000FF"/>
        </w:rPr>
        <w:t>X</w:t>
      </w:r>
      <w:r>
        <w:rPr>
          <w:rFonts w:ascii="Calibri" w:cs="Calibri" w:eastAsia="Calibri" w:hAnsi="Calibri"/>
          <w:sz w:val="22"/>
          <w:szCs w:val="22"/>
          <w:color w:val="auto"/>
        </w:rPr>
        <w:t xml:space="preserve"> (formerly Twiter).</w:t>
      </w:r>
    </w:p>
    <w:p>
      <w:pPr>
        <w:spacing w:after="0" w:line="35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49" w:lineRule="exact"/>
        <w:rPr>
          <w:sz w:val="20"/>
          <w:szCs w:val="20"/>
          <w:color w:val="auto"/>
        </w:rPr>
      </w:pPr>
    </w:p>
    <w:p>
      <w:pPr>
        <w:ind w:right="60"/>
        <w:spacing w:after="0" w:line="267" w:lineRule="auto"/>
        <w:rPr>
          <w:sz w:val="20"/>
          <w:szCs w:val="20"/>
          <w:color w:val="auto"/>
        </w:rPr>
      </w:pPr>
      <w:r>
        <w:rPr>
          <w:rFonts w:ascii="Calibri" w:cs="Calibri" w:eastAsia="Calibri" w:hAnsi="Calibri"/>
          <w:sz w:val="22"/>
          <w:szCs w:val="22"/>
          <w:color w:val="auto"/>
        </w:rPr>
        <w:t>Any statements in this press release about future expectatons, plans, and prospects for Krystal Biotech, Inc., including statements about the signifcant potental of the Company’s vectorized cytokine approach in the treatment of difcult cancers; the Company’s HSV-1 platorm and its ability to safely and repeatedly deliver functonal genetc material to the lung and impact the course of disease; the Company’s expectaton that it will disclose detailed and updated results of KYANITE-1 at future scientfc conference(s); and other statements containing the words “antcipate,” “believe,” “estmate,” “expect,” “intend,” “may,” “plan,” “predict,” “project,” “target,” “potental,” “likely,” “will,” “would,” “could,” “should,” “contnue,” and similar expressions, consttute forward-looking statements within the meaning of The Private</w:t>
      </w:r>
    </w:p>
    <w:p>
      <w:pPr>
        <w:sectPr>
          <w:pgSz w:w="11900" w:h="16838" w:orient="portrait"/>
          <w:cols w:equalWidth="0" w:num="1">
            <w:col w:w="11200"/>
          </w:cols>
          <w:pgMar w:left="320" w:top="1421" w:right="379" w:bottom="1440" w:gutter="0" w:footer="0" w:header="0"/>
        </w:sectPr>
      </w:pPr>
    </w:p>
    <w:bookmarkStart w:id="6" w:name="page7"/>
    <w:bookmarkEnd w:id="6"/>
    <w:p>
      <w:pPr>
        <w:spacing w:after="0" w:line="103" w:lineRule="exact"/>
        <w:rPr>
          <w:sz w:val="20"/>
          <w:szCs w:val="20"/>
          <w:color w:val="auto"/>
        </w:rPr>
      </w:pPr>
    </w:p>
    <w:p>
      <w:pPr>
        <w:spacing w:after="0" w:line="267" w:lineRule="auto"/>
        <w:rPr>
          <w:sz w:val="20"/>
          <w:szCs w:val="20"/>
          <w:color w:val="auto"/>
        </w:rPr>
      </w:pPr>
      <w:r>
        <w:rPr>
          <w:rFonts w:ascii="Calibri" w:cs="Calibri" w:eastAsia="Calibri" w:hAnsi="Calibri"/>
          <w:sz w:val="22"/>
          <w:szCs w:val="22"/>
          <w:color w:val="auto"/>
        </w:rPr>
        <w:t>Securites Litgaton Reform Act of 1995. Actual results may difer materially from those indicated by such forward-looking statements as a result of various important factors, including uncertaintes inherent in the initaton and conduct of clinical trials and such other important factors as are set forth under the capton “Risk Factors” in the Company’s annual and quarterly reports on fle with the U.S. Securites and Exchange Commission. In additon, the forward-looking statements included in this press release represent the Company’s views as of the date of this press release. The Company antcipates that subsequent events and developments will cause its views to change. However, while the Company may elect to update these forward-looking statements at some point in the future, it specifcally disclaims any obligaton to do so. These forward-looking statements should not be relied upon as representng the Company’s views as of any date subsequent to the date of this press release.</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Investors and Media:</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Stéphane Paquete, PhD</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Krystal Biotech</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spaquete@krystalbio.com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2024-12-18T07:42:54Z</dcterms:created>
  <dcterms:modified xsi:type="dcterms:W3CDTF">2024-12-18T07:42:54Z</dcterms:modified>
</cp:coreProperties>
</file>