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KRYSTAL BIOTECH,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2100 Wharton Street, Suite 701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Pittsburgh, PA 15203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9,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Ms. Irene Paik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Krystal Biotech,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 (File No. 333-227632)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Paik: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461 under the Securities Act of 1933, as amended, Krystal Biotech, Inc. (the “Registrant”) hereby requests acceleration of effectiveness of its registration statement on Form S-3 (File No. 333-227632) to 9:00 a.m., Eastern Time, on October 12, 2018, or as soon as practicable thereafter.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Registrant requests that it be notified of such effectiveness by a telephone call to John W. Campbell, the Company’s counsel at Morrison &amp; Foerster LLP, at (415) 268-7197.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Krystal Biotech, Inc.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Krish S. Krishnan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4577715</wp:posOffset>
            </wp:positionH>
            <wp:positionV relativeFrom="paragraph">
              <wp:posOffset>14605</wp:posOffset>
            </wp:positionV>
            <wp:extent cx="242697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Krish S. Krishnan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President and Chief Executive Officer</w:t>
      </w:r>
    </w:p>
    <w:sectPr>
      <w:pgSz w:w="11900" w:h="16838" w:orient="portrait"/>
      <w:cols w:equalWidth="0" w:num="1">
        <w:col w:w="11020"/>
      </w:cols>
      <w:pgMar w:left="440" w:top="23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2019-12-08T17:15:18Z</dcterms:created>
  <dcterms:modified xsi:type="dcterms:W3CDTF">2019-12-08T17:15:18Z</dcterms:modified>
</cp:coreProperties>
</file>