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Krystal Biotech,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501147102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52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6"/>
          <w:szCs w:val="16"/>
          <w:color w:val="auto"/>
        </w:rPr>
        <w:t>Rule 13d-1(c)</w:t>
      </w:r>
      <w:r>
        <w:rPr>
          <w:rFonts w:ascii="Arial" w:cs="Arial" w:eastAsia="Arial" w:hAnsi="Arial"/>
          <w:sz w:val="19"/>
          <w:szCs w:val="19"/>
          <w:color w:val="auto"/>
        </w:rPr>
        <w:t xml:space="preserve"> o </w:t>
      </w:r>
      <w:r>
        <w:rPr>
          <w:rFonts w:ascii="Arial" w:cs="Arial" w:eastAsia="Arial" w:hAnsi="Arial"/>
          <w:sz w:val="16"/>
          <w:szCs w:val="16"/>
          <w:color w:val="auto"/>
        </w:rPr>
        <w:t>Rule 13d-1(d)</w:t>
      </w:r>
    </w:p>
    <w:p>
      <w:pPr>
        <w:spacing w:after="0" w:line="39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60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CUSIP No. 501147102</w:t>
            </w: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2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9"/>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8"/>
                <w:szCs w:val="18"/>
                <w:color w:val="auto"/>
                <w:w w:val="98"/>
              </w:rPr>
              <w:t>OrbiMed Capital LLC</w:t>
            </w: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3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30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30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933,508</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30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3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933,508</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933,508</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right w:val="single" w:sz="8" w:color="808080"/>
            </w:tcBorders>
            <w:shd w:val="clear" w:color="auto" w:fill="808080"/>
          </w:tcPr>
          <w:p>
            <w:pPr>
              <w:spacing w:after="0"/>
              <w:rPr>
                <w:sz w:val="6"/>
                <w:szCs w:val="6"/>
                <w:color w:val="auto"/>
              </w:rPr>
            </w:pPr>
          </w:p>
        </w:tc>
        <w:tc>
          <w:tcPr>
            <w:tcW w:w="1420" w:type="dxa"/>
            <w:vAlign w:val="bottom"/>
            <w:tcBorders>
              <w:right w:val="single" w:sz="8" w:color="808080"/>
            </w:tcBorders>
            <w:shd w:val="clear" w:color="auto" w:fill="808080"/>
          </w:tcPr>
          <w:p>
            <w:pPr>
              <w:spacing w:after="0"/>
              <w:rPr>
                <w:sz w:val="6"/>
                <w:szCs w:val="6"/>
                <w:color w:val="auto"/>
              </w:rPr>
            </w:pPr>
          </w:p>
        </w:tc>
        <w:tc>
          <w:tcPr>
            <w:tcW w:w="300" w:type="dxa"/>
            <w:vAlign w:val="bottom"/>
            <w:shd w:val="clear" w:color="auto" w:fill="808080"/>
          </w:tcPr>
          <w:p>
            <w:pPr>
              <w:spacing w:after="0"/>
              <w:rPr>
                <w:sz w:val="6"/>
                <w:szCs w:val="6"/>
                <w:color w:val="auto"/>
              </w:rPr>
            </w:pPr>
          </w:p>
        </w:tc>
        <w:tc>
          <w:tcPr>
            <w:tcW w:w="5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80" w:type="dxa"/>
            <w:vAlign w:val="bottom"/>
            <w:tcBorders>
              <w:right w:val="single" w:sz="8" w:color="808080"/>
            </w:tcBorders>
            <w:shd w:val="clear" w:color="auto" w:fill="808080"/>
          </w:tcPr>
          <w:p>
            <w:pPr>
              <w:spacing w:after="0"/>
              <w:rPr>
                <w:sz w:val="6"/>
                <w:szCs w:val="6"/>
                <w:color w:val="auto"/>
              </w:rPr>
            </w:pPr>
          </w:p>
        </w:tc>
        <w:tc>
          <w:tcPr>
            <w:tcW w:w="34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66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CUSIP No. 501147102</w:t>
            </w:r>
          </w:p>
        </w:tc>
        <w:tc>
          <w:tcPr>
            <w:tcW w:w="52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9"/>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8"/>
                <w:szCs w:val="18"/>
                <w:color w:val="auto"/>
                <w:w w:val="94"/>
              </w:rPr>
              <w:t>OrbiMed Advisors LLC</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w w:val="71"/>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3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360" w:type="dxa"/>
            <w:vAlign w:val="bottom"/>
          </w:tcPr>
          <w:p>
            <w:pPr>
              <w:spacing w:after="0"/>
              <w:rPr>
                <w:sz w:val="18"/>
                <w:szCs w:val="18"/>
                <w:color w:val="auto"/>
              </w:rPr>
            </w:pPr>
          </w:p>
        </w:tc>
        <w:tc>
          <w:tcPr>
            <w:tcW w:w="52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w w:val="71"/>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61,300</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3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w w:val="71"/>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w w:val="71"/>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61,300</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61,300</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0.35%</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501147102</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4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Krystal Biotech, Inc.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2100 Wharton Street, Suite 701</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Pittsburgh, Pennsylvania 15203</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Advisors LLC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refer to Item 4 on each cover page for each Reporting Person.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$0.00001 par value per share</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501147102</w:t>
      </w:r>
    </w:p>
    <w:p>
      <w:pPr>
        <w:sectPr>
          <w:pgSz w:w="11900" w:h="16838" w:orient="portrait"/>
          <w:cols w:equalWidth="0" w:num="1">
            <w:col w:w="11420"/>
          </w:cols>
          <w:pgMar w:left="240" w:top="690"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501147102</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OrbiMed Advisors LLC ("Advisors") and OrbiMed Capital LLC ("Capital") are investment advisors in accordance with ss.240.13d-1(b)(1)(ii)(E).</w:t>
      </w:r>
    </w:p>
    <w:p>
      <w:pPr>
        <w:sectPr>
          <w:pgSz w:w="11900" w:h="16838" w:orient="portrait"/>
          <w:cols w:equalWidth="0" w:num="1">
            <w:col w:w="11420"/>
          </w:cols>
          <w:pgMar w:left="240" w:top="690"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501147102</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6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Information with respect to the Reporting Person’s ownership as of December 31, 2019 is incorporated by reference to items (5) - (9) and (11) of the cover page for the Reporting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29" w:lineRule="exact"/>
        <w:rPr>
          <w:sz w:val="20"/>
          <w:szCs w:val="20"/>
          <w:color w:val="auto"/>
        </w:rPr>
      </w:pPr>
    </w:p>
    <w:p>
      <w:pPr>
        <w:jc w:val="both"/>
        <w:ind w:left="800"/>
        <w:spacing w:after="0" w:line="257" w:lineRule="auto"/>
        <w:rPr>
          <w:sz w:val="20"/>
          <w:szCs w:val="20"/>
          <w:color w:val="auto"/>
        </w:rPr>
      </w:pPr>
      <w:r>
        <w:rPr>
          <w:rFonts w:ascii="Arial" w:cs="Arial" w:eastAsia="Arial" w:hAnsi="Arial"/>
          <w:sz w:val="18"/>
          <w:szCs w:val="18"/>
          <w:color w:val="auto"/>
        </w:rPr>
        <w:t>Reporting persons are holding 5.75% of the shares in the aggregate on behalf of other persons who have the right to receive or the power to direct the receipt of dividends from, or proceeds from the sale of, such securities. No one such other person's interest in the securities whose ownership is reported here relates to more than five percent of the class. Advisors and Capital exercise investment and voting power over the shares through a management committee comprised of Carl L. Gordon, Sven H. Borho and Jonathan T. Silverstein, each of whom disclaims beneficial ownership of the Common Stock reported herein.</w:t>
      </w:r>
    </w:p>
    <w:p>
      <w:pPr>
        <w:spacing w:after="0" w:line="76" w:lineRule="exact"/>
        <w:rPr>
          <w:sz w:val="20"/>
          <w:szCs w:val="20"/>
          <w:color w:val="auto"/>
        </w:rPr>
      </w:pPr>
    </w:p>
    <w:p>
      <w:pPr>
        <w:ind w:left="1300" w:hanging="1296"/>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906" w:right="2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501147102</w:t>
            </w:r>
          </w:p>
        </w:tc>
        <w:tc>
          <w:tcPr>
            <w:tcW w:w="458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7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OrbiMed Advisors LLC</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Jonathan T. Silverstein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Sven H. Borho</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Carl L. Gordon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00" w:lineRule="exact"/>
        <w:rPr>
          <w:sz w:val="20"/>
          <w:szCs w:val="20"/>
          <w:color w:val="auto"/>
        </w:rPr>
      </w:pPr>
    </w:p>
    <w:p>
      <w:pPr>
        <w:spacing w:after="0" w:line="22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OrbiMed Capital LLC</w:t>
      </w:r>
    </w:p>
    <w:p>
      <w:pPr>
        <w:spacing w:after="0" w:line="200" w:lineRule="exact"/>
        <w:rPr>
          <w:sz w:val="20"/>
          <w:szCs w:val="20"/>
          <w:color w:val="auto"/>
        </w:rPr>
      </w:pPr>
    </w:p>
    <w:p>
      <w:pPr>
        <w:spacing w:after="0" w:line="24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Jonathan T. Silverstein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Sven H. Borho</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Carl L. Gordon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ectPr>
          <w:pgSz w:w="11900" w:h="16838" w:orient="portrait"/>
          <w:cols w:equalWidth="0" w:num="1">
            <w:col w:w="11420"/>
          </w:cols>
          <w:pgMar w:left="240" w:top="474" w:right="2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501147102</w:t>
            </w:r>
          </w:p>
        </w:tc>
        <w:tc>
          <w:tcPr>
            <w:tcW w:w="458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8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undersigned hereby agree that the Statement on this Schedule 13G dated February 14, 2020 (the "Schedule 13G"), with respect to the Common Stock, par value $0.00001 per share, of Krystal Biotech, Inc. is filed on behalf of each of us pursuant to and in accordance with the provisions of Rule 13d-1(k) under the Securities Exchange Act of 1934, as amended, and that this Agreement shall be included as an Exhibit to this Schedule 13G. Each of the undersigned agrees to be responsible for the timely filing of the Schedule 13G, and for the completeness and accuracy of the information concerning itself contained therein. This Agreement may be executed in any number of counterparts, all of which taken together shall constitute one and the same instrument.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February 14, 2020.</w:t>
      </w:r>
    </w:p>
    <w:p>
      <w:pPr>
        <w:spacing w:after="0" w:line="22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OrbiMed Advisors LLC</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Jonathan T. Silverstein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Sven H. Borho</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Carl L. Gordon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00" w:lineRule="exact"/>
        <w:rPr>
          <w:sz w:val="20"/>
          <w:szCs w:val="20"/>
          <w:color w:val="auto"/>
        </w:rPr>
      </w:pPr>
    </w:p>
    <w:p>
      <w:pPr>
        <w:spacing w:after="0" w:line="22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OrbiMed Capital LLC</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Jonathan T. Silverstein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Sven H. Borho</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Carl L. Gordon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2020-02-18T08:17:36Z</dcterms:created>
  <dcterms:modified xsi:type="dcterms:W3CDTF">2020-02-18T08:17:36Z</dcterms:modified>
</cp:coreProperties>
</file>