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7"/>
              </w:rPr>
              <w:t>UNITED STATES</w:t>
            </w:r>
          </w:p>
        </w:tc>
      </w:tr>
      <w:tr>
        <w:trPr>
          <w:trHeight w:val="203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47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SECURITIES AND EXCHANGE COMMISSION</w:t>
            </w:r>
          </w:p>
        </w:tc>
      </w:tr>
      <w:tr>
        <w:trPr>
          <w:trHeight w:val="196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27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Washington, D.C. 20549</w:t>
            </w:r>
          </w:p>
        </w:tc>
      </w:tr>
      <w:tr>
        <w:trPr>
          <w:trHeight w:val="294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b w:val="1"/>
                <w:bCs w:val="1"/>
                <w:color w:val="auto"/>
              </w:rPr>
              <w:t>SCHEDULE 14A</w:t>
            </w:r>
          </w:p>
        </w:tc>
      </w:tr>
      <w:tr>
        <w:trPr>
          <w:trHeight w:val="203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27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Proxy Statement Pursuant to Section 14(a) of</w:t>
            </w:r>
          </w:p>
        </w:tc>
      </w:tr>
      <w:tr>
        <w:trPr>
          <w:trHeight w:val="234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the Securities Exchange Act of 1934 (Amendment No. )</w:t>
            </w:r>
          </w:p>
        </w:tc>
      </w:tr>
      <w:tr>
        <w:trPr>
          <w:trHeight w:val="508"/>
        </w:trPr>
        <w:tc>
          <w:tcPr>
            <w:tcW w:w="3440" w:type="dxa"/>
            <w:vAlign w:val="bottom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Filed by the Registrant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  <w:tc>
          <w:tcPr>
            <w:tcW w:w="7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440" w:type="dxa"/>
            <w:vAlign w:val="bottom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Filed by a Party other than the Registrant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7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3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Check the appropriate box:</w:t>
            </w:r>
          </w:p>
        </w:tc>
        <w:tc>
          <w:tcPr>
            <w:tcW w:w="7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7"/>
        </w:trPr>
        <w:tc>
          <w:tcPr>
            <w:tcW w:w="3440" w:type="dxa"/>
            <w:vAlign w:val="bottom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7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Preliminary Proxy Statement</w:t>
            </w:r>
          </w:p>
        </w:tc>
      </w:tr>
      <w:tr>
        <w:trPr>
          <w:trHeight w:val="257"/>
        </w:trPr>
        <w:tc>
          <w:tcPr>
            <w:tcW w:w="3440" w:type="dxa"/>
            <w:vAlign w:val="bottom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7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Confidential, for Use of the Commission Only (as permitted by Rule 14a-6(e)(2))</w:t>
            </w:r>
          </w:p>
        </w:tc>
      </w:tr>
      <w:tr>
        <w:trPr>
          <w:trHeight w:val="256"/>
        </w:trPr>
        <w:tc>
          <w:tcPr>
            <w:tcW w:w="3440" w:type="dxa"/>
            <w:vAlign w:val="bottom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7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Definitive Proxy Statement</w:t>
            </w:r>
          </w:p>
        </w:tc>
      </w:tr>
      <w:tr>
        <w:trPr>
          <w:trHeight w:val="257"/>
        </w:trPr>
        <w:tc>
          <w:tcPr>
            <w:tcW w:w="3440" w:type="dxa"/>
            <w:vAlign w:val="bottom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  <w:tc>
          <w:tcPr>
            <w:tcW w:w="7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Definitive Additional Materials</w:t>
            </w:r>
          </w:p>
        </w:tc>
      </w:tr>
      <w:tr>
        <w:trPr>
          <w:trHeight w:val="303"/>
        </w:trPr>
        <w:tc>
          <w:tcPr>
            <w:tcW w:w="3440" w:type="dxa"/>
            <w:vAlign w:val="bottom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7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Soliciting Material under §240.14a-12</w:t>
            </w:r>
          </w:p>
        </w:tc>
      </w:tr>
      <w:tr>
        <w:trPr>
          <w:trHeight w:val="76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KRYSTAL BIOTECH, INC.</w:t>
            </w:r>
          </w:p>
        </w:tc>
      </w:tr>
      <w:tr>
        <w:trPr>
          <w:trHeight w:val="324"/>
        </w:trPr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(Name of Registrant as Specified In Its Charter)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351155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800" w:hanging="688"/>
        <w:spacing w:after="0"/>
        <w:tabs>
          <w:tab w:leader="none" w:pos="8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800" w:hanging="688"/>
        <w:spacing w:after="0"/>
        <w:tabs>
          <w:tab w:leader="none" w:pos="8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4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00" w:hanging="688"/>
        <w:spacing w:after="0"/>
        <w:tabs>
          <w:tab w:leader="none" w:pos="8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894080</wp:posOffset>
            </wp:positionH>
            <wp:positionV relativeFrom="page">
              <wp:posOffset>706120</wp:posOffset>
            </wp:positionV>
            <wp:extent cx="5760720" cy="74491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4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894080</wp:posOffset>
            </wp:positionH>
            <wp:positionV relativeFrom="page">
              <wp:posOffset>551815</wp:posOffset>
            </wp:positionV>
            <wp:extent cx="5760720" cy="74491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4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2024-04-04T15:30:44Z</dcterms:created>
  <dcterms:modified xsi:type="dcterms:W3CDTF">2024-04-04T15:30:44Z</dcterms:modified>
</cp:coreProperties>
</file>