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03516.xml.htm"/>
      <w:bookmarkStart w:id="1" w:name="kswkform4_17896035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ROSSI DINO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KRYSTAL BIOTECH,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2100 WHARTON STREET, SUITE 701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Krystal Biotech, Inc.</w:t>
              </w:r>
            </w:hyperlink>
            <w:r>
              <w:rPr/>
              <w:t xml:space="preserve"> [ </w:t>
            </w:r>
            <w:r>
              <w:rPr>
                <w:rFonts w:ascii="Times;serif" w:hAnsi="Times;serif"/>
                <w:color w:val="0000FF"/>
                <w:sz w:val="24"/>
                <w:shd w:fill="FFFFFF" w:val="clear"/>
              </w:rPr>
              <w:t>KRYS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340.03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options vest in full on September 14, 2027, subject to continued service on the Company's Board of Directors through such date and to earlier vesting in certain circumstances described in the Company's Non-Employee Director Compensation Policy as in effect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full on September 14, 2027, subject to continued service on the Company's Board of Directors through such date and to earlier vesting in certain circumstances described in the Company's Non-Employee Director Compensation Policy as in effect on the date of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Krish Krishnan, as attorney-in-fact for Dino A. Rossi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9059" TargetMode="External"/><Relationship Id="rId5" Type="http://schemas.openxmlformats.org/officeDocument/2006/relationships/hyperlink" Target="http://www.sec.gov/cgi-bin/browse-edgar?action=getcompany&amp;CIK=0001711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3791</Characters>
  <CharactersWithSpaces>4411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