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603273.xml.htm"/>
      <w:bookmarkStart w:id="1" w:name="kswkform4_178960327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JANNEY DANIEL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KRYSTAL BIOTECH,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2100 WHARTON STREET, SUITE 701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Krystal Biotech, Inc.</w:t>
              </w:r>
            </w:hyperlink>
            <w:r>
              <w:rPr/>
              <w:t xml:space="preserve"> [ </w:t>
            </w:r>
            <w:r>
              <w:rPr>
                <w:rFonts w:ascii="Times;serif" w:hAnsi="Times;serif"/>
                <w:color w:val="0000FF"/>
                <w:sz w:val="24"/>
                <w:shd w:fill="FFFFFF" w:val="clear"/>
              </w:rPr>
              <w:t>KRYS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340.03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1,187</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09/13/2036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Award</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stock options vest in full on September 14, 2027, subject to continued service on the Company's Board of Directors through such date and to earlier vesting in certain circumstances described in the Company's Non-Employee Director Compensation Policy as in effect on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("RSU") represents a contingent right to receive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vest in full on September 14, 2027, subject to continued service on the Company's Board of Directors through such date and to earlier vesting in certain circumstances described in the Company's Non-Employee Director Compensation Policy as in effect on the date of grant.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Krish Krishnan, as attorney-in-fact for Daniel Janney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98325" TargetMode="External"/><Relationship Id="rId5" Type="http://schemas.openxmlformats.org/officeDocument/2006/relationships/hyperlink" Target="http://www.sec.gov/cgi-bin/browse-edgar?action=getcompany&amp;CIK=00017112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704</Words>
  <Characters>3794</Characters>
  <CharactersWithSpaces>4412</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