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 2023</w:t>
      </w:r>
    </w:p>
    <w:p>
      <w:pPr>
        <w:spacing w:after="0" w:line="77"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59"/>
        <w:spacing w:after="0" w:line="215"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90170</wp:posOffset>
            </wp:positionV>
            <wp:extent cx="114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159"/>
        <w:spacing w:after="0" w:line="215"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59"/>
        <w:spacing w:after="0" w:line="220" w:lineRule="auto"/>
        <w:rPr>
          <w:sz w:val="20"/>
          <w:szCs w:val="20"/>
          <w:color w:val="auto"/>
        </w:rPr>
      </w:pPr>
      <w:r>
        <w:rPr>
          <w:rFonts w:ascii="Times New Roman" w:cs="Times New Roman" w:eastAsia="Times New Roman" w:hAnsi="Times New Roman"/>
          <w:sz w:val="18"/>
          <w:szCs w:val="18"/>
          <w:b w:val="1"/>
          <w:bCs w:val="1"/>
          <w:i w:val="1"/>
          <w:iCs w:val="1"/>
          <w:color w:val="auto"/>
        </w:rPr>
        <w:t>UNDER THE</w:t>
      </w: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90170</wp:posOffset>
            </wp:positionV>
            <wp:extent cx="114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7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KRYSTAL BIOTECH, INC.</w:t>
      </w:r>
    </w:p>
    <w:p>
      <w:pPr>
        <w:spacing w:after="0" w:line="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99060</wp:posOffset>
            </wp:positionV>
            <wp:extent cx="1143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53" w:lineRule="exact"/>
        <w:rPr>
          <w:sz w:val="24"/>
          <w:szCs w:val="24"/>
          <w:color w:val="auto"/>
        </w:rPr>
      </w:pPr>
    </w:p>
    <w:tbl>
      <w:tblPr>
        <w:tblLayout w:type="fixed"/>
        <w:tblInd w:w="1140" w:type="dxa"/>
        <w:tblCellMar>
          <w:top w:w="0" w:type="dxa"/>
          <w:left w:w="0" w:type="dxa"/>
          <w:bottom w:w="0" w:type="dxa"/>
          <w:right w:w="0" w:type="dxa"/>
        </w:tblCellMar>
      </w:tblPr>
      <w:tr>
        <w:trPr>
          <w:trHeight w:val="207"/>
        </w:trPr>
        <w:tc>
          <w:tcPr>
            <w:tcW w:w="3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81-0930882</w:t>
            </w:r>
          </w:p>
        </w:tc>
        <w:tc>
          <w:tcPr>
            <w:tcW w:w="0" w:type="dxa"/>
            <w:vAlign w:val="bottom"/>
          </w:tcPr>
          <w:p>
            <w:pPr>
              <w:spacing w:after="0"/>
              <w:rPr>
                <w:sz w:val="1"/>
                <w:szCs w:val="1"/>
                <w:color w:val="auto"/>
              </w:rPr>
            </w:pPr>
          </w:p>
        </w:tc>
      </w:tr>
      <w:tr>
        <w:trPr>
          <w:trHeight w:val="94"/>
        </w:trPr>
        <w:tc>
          <w:tcPr>
            <w:tcW w:w="3120" w:type="dxa"/>
            <w:vAlign w:val="bottom"/>
            <w:vMerge w:val="restart"/>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120" w:type="dxa"/>
            <w:vAlign w:val="bottom"/>
            <w:vMerge w:val="continue"/>
          </w:tcPr>
          <w:p>
            <w:pPr>
              <w:spacing w:after="0"/>
              <w:rPr>
                <w:sz w:val="7"/>
                <w:szCs w:val="7"/>
                <w:color w:val="auto"/>
              </w:rPr>
            </w:pPr>
          </w:p>
        </w:tc>
        <w:tc>
          <w:tcPr>
            <w:tcW w:w="5380" w:type="dxa"/>
            <w:vAlign w:val="bottom"/>
            <w:vMerge w:val="restart"/>
          </w:tcPr>
          <w:p>
            <w:pPr>
              <w:jc w:val="center"/>
              <w:ind w:left="35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94"/>
        </w:trPr>
        <w:tc>
          <w:tcPr>
            <w:tcW w:w="31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120" w:type="dxa"/>
            <w:vAlign w:val="bottom"/>
            <w:vMerge w:val="continue"/>
          </w:tcPr>
          <w:p>
            <w:pPr>
              <w:spacing w:after="0"/>
              <w:rPr>
                <w:sz w:val="12"/>
                <w:szCs w:val="12"/>
                <w:color w:val="auto"/>
              </w:rPr>
            </w:pPr>
          </w:p>
        </w:tc>
        <w:tc>
          <w:tcPr>
            <w:tcW w:w="5380" w:type="dxa"/>
            <w:vAlign w:val="bottom"/>
            <w:vMerge w:val="restart"/>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r>
        <w:trPr>
          <w:trHeight w:val="95"/>
        </w:trPr>
        <w:tc>
          <w:tcPr>
            <w:tcW w:w="3120" w:type="dxa"/>
            <w:vAlign w:val="bottom"/>
          </w:tcPr>
          <w:p>
            <w:pPr>
              <w:spacing w:after="0"/>
              <w:rPr>
                <w:sz w:val="8"/>
                <w:szCs w:val="8"/>
                <w:color w:val="auto"/>
              </w:rPr>
            </w:pPr>
          </w:p>
        </w:tc>
        <w:tc>
          <w:tcPr>
            <w:tcW w:w="5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1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2100 Wharton Street, Suite 701</w:t>
            </w:r>
          </w:p>
        </w:tc>
        <w:tc>
          <w:tcPr>
            <w:tcW w:w="5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12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Pittsburgh, Pennsylvania</w:t>
            </w:r>
          </w:p>
        </w:tc>
        <w:tc>
          <w:tcPr>
            <w:tcW w:w="538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15203</w:t>
            </w:r>
          </w:p>
        </w:tc>
        <w:tc>
          <w:tcPr>
            <w:tcW w:w="0" w:type="dxa"/>
            <w:vAlign w:val="bottom"/>
          </w:tcPr>
          <w:p>
            <w:pPr>
              <w:spacing w:after="0"/>
              <w:rPr>
                <w:sz w:val="1"/>
                <w:szCs w:val="1"/>
                <w:color w:val="auto"/>
              </w:rPr>
            </w:pPr>
          </w:p>
        </w:tc>
      </w:tr>
      <w:tr>
        <w:trPr>
          <w:trHeight w:val="103"/>
        </w:trPr>
        <w:tc>
          <w:tcPr>
            <w:tcW w:w="31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20" w:type="dxa"/>
            <w:vAlign w:val="bottom"/>
            <w:vMerge w:val="continue"/>
          </w:tcPr>
          <w:p>
            <w:pPr>
              <w:spacing w:after="0"/>
              <w:rPr>
                <w:sz w:val="11"/>
                <w:szCs w:val="11"/>
                <w:color w:val="auto"/>
              </w:rPr>
            </w:pPr>
          </w:p>
        </w:tc>
        <w:tc>
          <w:tcPr>
            <w:tcW w:w="5380" w:type="dxa"/>
            <w:vAlign w:val="bottom"/>
            <w:vMerge w:val="restart"/>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w w:val="99"/>
              </w:rPr>
              <w:t>(Zip code)</w:t>
            </w:r>
          </w:p>
        </w:tc>
        <w:tc>
          <w:tcPr>
            <w:tcW w:w="0" w:type="dxa"/>
            <w:vAlign w:val="bottom"/>
          </w:tcPr>
          <w:p>
            <w:pPr>
              <w:spacing w:after="0"/>
              <w:rPr>
                <w:sz w:val="1"/>
                <w:szCs w:val="1"/>
                <w:color w:val="auto"/>
              </w:rPr>
            </w:pPr>
          </w:p>
        </w:tc>
      </w:tr>
      <w:tr>
        <w:trPr>
          <w:trHeight w:val="103"/>
        </w:trPr>
        <w:tc>
          <w:tcPr>
            <w:tcW w:w="3120" w:type="dxa"/>
            <w:vAlign w:val="bottom"/>
          </w:tcPr>
          <w:p>
            <w:pPr>
              <w:spacing w:after="0"/>
              <w:rPr>
                <w:sz w:val="8"/>
                <w:szCs w:val="8"/>
                <w:color w:val="auto"/>
              </w:rPr>
            </w:pPr>
          </w:p>
        </w:tc>
        <w:tc>
          <w:tcPr>
            <w:tcW w:w="5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3120" w:type="dxa"/>
            <w:vAlign w:val="bottom"/>
          </w:tcPr>
          <w:p>
            <w:pPr>
              <w:spacing w:after="0"/>
              <w:rPr>
                <w:sz w:val="21"/>
                <w:szCs w:val="21"/>
                <w:color w:val="auto"/>
              </w:rPr>
            </w:pPr>
          </w:p>
        </w:tc>
        <w:tc>
          <w:tcPr>
            <w:tcW w:w="538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rPr>
              <w:t>2017 IPO Stock Incentive Plan</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538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w w:val="99"/>
              </w:rPr>
              <w:t>(Full title of the plan)</w:t>
            </w: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538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w w:val="99"/>
              </w:rPr>
              <w:t>Krish S. Krishnan</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5380" w:type="dxa"/>
            <w:vAlign w:val="bottom"/>
          </w:tcPr>
          <w:p>
            <w:pPr>
              <w:jc w:val="center"/>
              <w:ind w:right="25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5380" w:type="dxa"/>
            <w:vAlign w:val="bottom"/>
          </w:tcPr>
          <w:p>
            <w:pPr>
              <w:jc w:val="center"/>
              <w:ind w:right="2570"/>
              <w:spacing w:after="0" w:line="176" w:lineRule="exact"/>
              <w:rPr>
                <w:sz w:val="20"/>
                <w:szCs w:val="20"/>
                <w:color w:val="auto"/>
              </w:rPr>
            </w:pPr>
            <w:r>
              <w:rPr>
                <w:rFonts w:ascii="Times New Roman" w:cs="Times New Roman" w:eastAsia="Times New Roman" w:hAnsi="Times New Roman"/>
                <w:sz w:val="18"/>
                <w:szCs w:val="18"/>
                <w:b w:val="1"/>
                <w:bCs w:val="1"/>
                <w:color w:val="auto"/>
              </w:rPr>
              <w:t>Krystal Biotech, Inc.</w:t>
            </w:r>
          </w:p>
        </w:tc>
        <w:tc>
          <w:tcPr>
            <w:tcW w:w="0" w:type="dxa"/>
            <w:vAlign w:val="bottom"/>
          </w:tcPr>
          <w:p>
            <w:pPr>
              <w:spacing w:after="0"/>
              <w:rPr>
                <w:sz w:val="1"/>
                <w:szCs w:val="1"/>
                <w:color w:val="auto"/>
              </w:rPr>
            </w:pPr>
          </w:p>
        </w:tc>
      </w:tr>
      <w:tr>
        <w:trPr>
          <w:trHeight w:val="204"/>
        </w:trPr>
        <w:tc>
          <w:tcPr>
            <w:tcW w:w="3120" w:type="dxa"/>
            <w:vAlign w:val="bottom"/>
          </w:tcPr>
          <w:p>
            <w:pPr>
              <w:spacing w:after="0"/>
              <w:rPr>
                <w:sz w:val="17"/>
                <w:szCs w:val="17"/>
                <w:color w:val="auto"/>
              </w:rPr>
            </w:pPr>
          </w:p>
        </w:tc>
        <w:tc>
          <w:tcPr>
            <w:tcW w:w="5380" w:type="dxa"/>
            <w:vAlign w:val="bottom"/>
          </w:tcPr>
          <w:p>
            <w:pPr>
              <w:jc w:val="center"/>
              <w:ind w:right="2570"/>
              <w:spacing w:after="0" w:line="204" w:lineRule="exact"/>
              <w:rPr>
                <w:sz w:val="20"/>
                <w:szCs w:val="20"/>
                <w:color w:val="auto"/>
              </w:rPr>
            </w:pPr>
            <w:r>
              <w:rPr>
                <w:rFonts w:ascii="Times New Roman" w:cs="Times New Roman" w:eastAsia="Times New Roman" w:hAnsi="Times New Roman"/>
                <w:sz w:val="18"/>
                <w:szCs w:val="18"/>
                <w:b w:val="1"/>
                <w:bCs w:val="1"/>
                <w:color w:val="auto"/>
                <w:w w:val="99"/>
              </w:rPr>
              <w:t>2100 Wharton Street, Suite 701</w:t>
            </w:r>
          </w:p>
        </w:tc>
        <w:tc>
          <w:tcPr>
            <w:tcW w:w="0" w:type="dxa"/>
            <w:vAlign w:val="bottom"/>
          </w:tcPr>
          <w:p>
            <w:pPr>
              <w:spacing w:after="0"/>
              <w:rPr>
                <w:sz w:val="1"/>
                <w:szCs w:val="1"/>
                <w:color w:val="auto"/>
              </w:rPr>
            </w:pPr>
          </w:p>
        </w:tc>
      </w:tr>
    </w:tbl>
    <w:p>
      <w:pPr>
        <w:jc w:val="center"/>
        <w:ind w:right="-159"/>
        <w:spacing w:after="0" w:line="203" w:lineRule="auto"/>
        <w:rPr>
          <w:sz w:val="20"/>
          <w:szCs w:val="20"/>
          <w:color w:val="auto"/>
        </w:rPr>
      </w:pPr>
      <w:r>
        <w:rPr>
          <w:rFonts w:ascii="Times New Roman" w:cs="Times New Roman" w:eastAsia="Times New Roman" w:hAnsi="Times New Roman"/>
          <w:sz w:val="18"/>
          <w:szCs w:val="18"/>
          <w:b w:val="1"/>
          <w:bCs w:val="1"/>
          <w:color w:val="auto"/>
        </w:rPr>
        <w:t>Pittsburgh, Pennsylvania 15203</w:t>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(412) 586-5830</w:t>
      </w:r>
    </w:p>
    <w:p>
      <w:pPr>
        <w:spacing w:after="0" w:line="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7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John Hensley, Esq.</w:t>
      </w:r>
    </w:p>
    <w:p>
      <w:pPr>
        <w:ind w:left="4620"/>
        <w:spacing w:after="0" w:line="210" w:lineRule="auto"/>
        <w:rPr>
          <w:sz w:val="20"/>
          <w:szCs w:val="20"/>
          <w:color w:val="auto"/>
        </w:rPr>
      </w:pPr>
      <w:r>
        <w:rPr>
          <w:rFonts w:ascii="Times New Roman" w:cs="Times New Roman" w:eastAsia="Times New Roman" w:hAnsi="Times New Roman"/>
          <w:sz w:val="18"/>
          <w:szCs w:val="18"/>
          <w:b w:val="1"/>
          <w:bCs w:val="1"/>
          <w:color w:val="auto"/>
        </w:rPr>
        <w:t>Morrison &amp; Foerster LLP</w:t>
      </w:r>
    </w:p>
    <w:p>
      <w:pPr>
        <w:ind w:left="4960"/>
        <w:spacing w:after="0" w:line="203" w:lineRule="auto"/>
        <w:rPr>
          <w:sz w:val="20"/>
          <w:szCs w:val="20"/>
          <w:color w:val="auto"/>
        </w:rPr>
      </w:pPr>
      <w:r>
        <w:rPr>
          <w:rFonts w:ascii="Times New Roman" w:cs="Times New Roman" w:eastAsia="Times New Roman" w:hAnsi="Times New Roman"/>
          <w:sz w:val="18"/>
          <w:szCs w:val="18"/>
          <w:b w:val="1"/>
          <w:bCs w:val="1"/>
          <w:color w:val="auto"/>
        </w:rPr>
        <w:t>701 Brazos Street</w:t>
      </w:r>
    </w:p>
    <w:p>
      <w:pPr>
        <w:ind w:left="5240"/>
        <w:spacing w:after="0" w:line="220" w:lineRule="auto"/>
        <w:rPr>
          <w:sz w:val="20"/>
          <w:szCs w:val="20"/>
          <w:color w:val="auto"/>
        </w:rPr>
      </w:pPr>
      <w:r>
        <w:rPr>
          <w:rFonts w:ascii="Times New Roman" w:cs="Times New Roman" w:eastAsia="Times New Roman" w:hAnsi="Times New Roman"/>
          <w:sz w:val="18"/>
          <w:szCs w:val="18"/>
          <w:b w:val="1"/>
          <w:bCs w:val="1"/>
          <w:color w:val="auto"/>
        </w:rPr>
        <w:t>Suite 1100</w:t>
      </w:r>
    </w:p>
    <w:p>
      <w:pPr>
        <w:jc w:val="center"/>
        <w:ind w:right="-159"/>
        <w:spacing w:after="0" w:line="203" w:lineRule="auto"/>
        <w:rPr>
          <w:sz w:val="20"/>
          <w:szCs w:val="20"/>
          <w:color w:val="auto"/>
        </w:rPr>
      </w:pPr>
      <w:r>
        <w:rPr>
          <w:rFonts w:ascii="Times New Roman" w:cs="Times New Roman" w:eastAsia="Times New Roman" w:hAnsi="Times New Roman"/>
          <w:sz w:val="18"/>
          <w:szCs w:val="18"/>
          <w:b w:val="1"/>
          <w:bCs w:val="1"/>
          <w:color w:val="auto"/>
        </w:rPr>
        <w:t>Austin, TX, 78701</w:t>
      </w:r>
    </w:p>
    <w:p>
      <w:pPr>
        <w:spacing w:after="0" w:line="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(737) 309-0700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90170</wp:posOffset>
            </wp:positionV>
            <wp:extent cx="1143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26" w:lineRule="exact"/>
        <w:rPr>
          <w:sz w:val="24"/>
          <w:szCs w:val="24"/>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24"/>
                <w:szCs w:val="24"/>
                <w:color w:val="auto"/>
              </w:rPr>
            </w:pPr>
          </w:p>
        </w:tc>
        <w:tc>
          <w:tcPr>
            <w:tcW w:w="3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080"/>
          </w:cols>
          <w:pgMar w:left="320" w:top="860" w:right="49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3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Registration Statement on Form S-8 (the “Registration Statement”) is being filed by Krystal Biotech, Inc. (the “Registrant”) with the Securities and Exchange Commission (the “Commission”) for the purpose of registering 1,027,885 shares of the Registrant’s common stock, par value $0.00001 per share (the “Common Stock”), issuable pursuant to the Registrant’s 2017 IPO Stock Incentive Plan (the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reserved a total of 900,000 shares of Common Stock for issuance when it was originally adopted and approved by the Registrant’s stockholders</w:t>
      </w:r>
    </w:p>
    <w:p>
      <w:pPr>
        <w:spacing w:after="0" w:line="2" w:lineRule="exact"/>
        <w:rPr>
          <w:sz w:val="20"/>
          <w:szCs w:val="20"/>
          <w:color w:val="auto"/>
        </w:rPr>
      </w:pPr>
    </w:p>
    <w:p>
      <w:pPr>
        <w:ind w:right="260"/>
        <w:spacing w:after="0" w:line="220" w:lineRule="auto"/>
        <w:rPr>
          <w:sz w:val="20"/>
          <w:szCs w:val="20"/>
          <w:color w:val="auto"/>
        </w:rPr>
      </w:pPr>
      <w:r>
        <w:rPr>
          <w:rFonts w:ascii="Times New Roman" w:cs="Times New Roman" w:eastAsia="Times New Roman" w:hAnsi="Times New Roman"/>
          <w:sz w:val="17"/>
          <w:szCs w:val="17"/>
          <w:color w:val="auto"/>
        </w:rPr>
        <w:t>on September 5, 2017. The “evergreen” provision of the Plan provides that the maximum amount of shares of Common Stock authorized under the Plan shall be increased each calendar year by a number equal to four percent (4%) of the number of shares outstanding as of the last day of the immediately preceding calendar year. The Registrant initially registered 900,000 shares of Common Stock reserved for issuance under the Plan on a registration</w:t>
      </w:r>
    </w:p>
    <w:p>
      <w:pPr>
        <w:spacing w:after="0" w:line="2" w:lineRule="exact"/>
        <w:rPr>
          <w:sz w:val="20"/>
          <w:szCs w:val="20"/>
          <w:color w:val="auto"/>
        </w:rPr>
      </w:pPr>
    </w:p>
    <w:p>
      <w:pPr>
        <w:ind w:right="20"/>
        <w:spacing w:after="0" w:line="208" w:lineRule="auto"/>
        <w:rPr>
          <w:sz w:val="20"/>
          <w:szCs w:val="20"/>
          <w:color w:val="auto"/>
        </w:rPr>
      </w:pPr>
      <w:r>
        <w:rPr>
          <w:rFonts w:ascii="Times New Roman" w:cs="Times New Roman" w:eastAsia="Times New Roman" w:hAnsi="Times New Roman"/>
          <w:sz w:val="18"/>
          <w:szCs w:val="18"/>
          <w:color w:val="auto"/>
        </w:rPr>
        <w:t>statement on Form S-8 filed with the Commission on September 22, 2017. The Registrant then registered (i) 2,472,188 additional shares of Common Stock on Form S-8 filed with the Commission on January 22, 2021 and (ii) 1,004,367 additional shares of Common Stock on Form S-8 filed with the Commission on February 17, 2022 (together with the initial registration statement, the "Prior Registration Statements") that were reserved for issuance</w:t>
      </w:r>
    </w:p>
    <w:p>
      <w:pPr>
        <w:spacing w:after="0" w:line="2" w:lineRule="exact"/>
        <w:rPr>
          <w:sz w:val="20"/>
          <w:szCs w:val="20"/>
          <w:color w:val="auto"/>
        </w:rPr>
      </w:pPr>
    </w:p>
    <w:p>
      <w:pPr>
        <w:ind w:right="500"/>
        <w:spacing w:after="0" w:line="226" w:lineRule="auto"/>
        <w:rPr>
          <w:sz w:val="20"/>
          <w:szCs w:val="20"/>
          <w:color w:val="auto"/>
        </w:rPr>
      </w:pPr>
      <w:r>
        <w:rPr>
          <w:rFonts w:ascii="Times New Roman" w:cs="Times New Roman" w:eastAsia="Times New Roman" w:hAnsi="Times New Roman"/>
          <w:sz w:val="18"/>
          <w:szCs w:val="18"/>
          <w:color w:val="auto"/>
        </w:rPr>
        <w:t>pursuant to the “evergreen” provision of the Plan. The Registrant is now registering an additional 1,027,885 shares of Common Stock that have been reserved for issuance pursuant to the “evergreen” provision of the Plan with the filing of this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General Instruction E to Form S-8, the contents of the Prior Registration Statements are hereby incorporated by reference.</w:t>
      </w:r>
    </w:p>
    <w:p>
      <w:pPr>
        <w:sectPr>
          <w:pgSz w:w="11900" w:h="16838" w:orient="portrait"/>
          <w:cols w:equalWidth="0" w:num="1">
            <w:col w:w="11220"/>
          </w:cols>
          <w:pgMar w:left="320" w:top="752"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sent or given to the persons participating in the Plan, as specified by Rule 428(b)</w:t>
      </w:r>
    </w:p>
    <w:p>
      <w:pPr>
        <w:ind w:firstLine="8"/>
        <w:spacing w:after="0" w:line="218"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In accordance with the instructions to Part I of Form S-8, such documents need not be filed with the Commission either as part of this Registration Statement or as prospectuses or prospectus supplements pursuant to Rule 424 promulgated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6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6" w:lineRule="exact"/>
        <w:rPr>
          <w:sz w:val="20"/>
          <w:szCs w:val="20"/>
          <w:color w:val="auto"/>
        </w:rPr>
      </w:pPr>
    </w:p>
    <w:p>
      <w:pPr>
        <w:ind w:right="420"/>
        <w:spacing w:after="0" w:line="226" w:lineRule="auto"/>
        <w:rPr>
          <w:sz w:val="20"/>
          <w:szCs w:val="20"/>
          <w:color w:val="auto"/>
        </w:rPr>
      </w:pPr>
      <w:r>
        <w:rPr>
          <w:rFonts w:ascii="Times New Roman" w:cs="Times New Roman" w:eastAsia="Times New Roman" w:hAnsi="Times New Roman"/>
          <w:sz w:val="18"/>
          <w:szCs w:val="18"/>
          <w:color w:val="auto"/>
        </w:rPr>
        <w:t>The following documents, which the Registrant has previously filed with the Commission, are hereby incorporated by reference into this Registration Statement.</w:t>
      </w:r>
    </w:p>
    <w:p>
      <w:pPr>
        <w:spacing w:after="0" w:line="157" w:lineRule="exact"/>
        <w:rPr>
          <w:sz w:val="20"/>
          <w:szCs w:val="20"/>
          <w:color w:val="auto"/>
        </w:rPr>
      </w:pPr>
    </w:p>
    <w:p>
      <w:pPr>
        <w:ind w:left="960" w:hanging="30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Commission on February 28, 2022;</w:t>
      </w:r>
    </w:p>
    <w:p>
      <w:pPr>
        <w:spacing w:after="0" w:line="90" w:lineRule="exact"/>
        <w:rPr>
          <w:rFonts w:ascii="Times New Roman" w:cs="Times New Roman" w:eastAsia="Times New Roman" w:hAnsi="Times New Roman"/>
          <w:sz w:val="18"/>
          <w:szCs w:val="18"/>
          <w:color w:val="auto"/>
        </w:rPr>
      </w:pPr>
    </w:p>
    <w:p>
      <w:pPr>
        <w:ind w:left="980" w:right="40" w:hanging="324"/>
        <w:spacing w:after="0" w:line="224" w:lineRule="auto"/>
        <w:tabs>
          <w:tab w:leader="none" w:pos="9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w:t>
      </w:r>
      <w:r>
        <w:rPr>
          <w:rFonts w:ascii="Times New Roman" w:cs="Times New Roman" w:eastAsia="Times New Roman" w:hAnsi="Times New Roman"/>
          <w:sz w:val="18"/>
          <w:szCs w:val="18"/>
          <w:u w:val="single" w:color="auto"/>
          <w:color w:val="0000FF"/>
        </w:rPr>
        <w:t>March 31, 2022</w:t>
      </w:r>
      <w:r>
        <w:rPr>
          <w:rFonts w:ascii="Times New Roman" w:cs="Times New Roman" w:eastAsia="Times New Roman" w:hAnsi="Times New Roman"/>
          <w:sz w:val="18"/>
          <w:szCs w:val="18"/>
          <w:color w:val="auto"/>
        </w:rPr>
        <w:t xml:space="preserve"> filed with the Commission on May 9, 2022; the Registrant’s Quarterly Report on Form 10-Q for the fiscal quarter ended </w:t>
      </w:r>
      <w:r>
        <w:rPr>
          <w:rFonts w:ascii="Times New Roman" w:cs="Times New Roman" w:eastAsia="Times New Roman" w:hAnsi="Times New Roman"/>
          <w:sz w:val="18"/>
          <w:szCs w:val="18"/>
          <w:u w:val="single" w:color="auto"/>
          <w:color w:val="0000FF"/>
        </w:rPr>
        <w:t>June 30, 2022</w:t>
      </w:r>
      <w:r>
        <w:rPr>
          <w:rFonts w:ascii="Times New Roman" w:cs="Times New Roman" w:eastAsia="Times New Roman" w:hAnsi="Times New Roman"/>
          <w:sz w:val="18"/>
          <w:szCs w:val="18"/>
          <w:color w:val="auto"/>
        </w:rPr>
        <w:t xml:space="preserve"> filed with the Commission on August 8, 2022; and the Registrant’s Quarterly Report on Form 10-Q for the fiscal quarter ended </w:t>
      </w:r>
      <w:r>
        <w:rPr>
          <w:rFonts w:ascii="Times New Roman" w:cs="Times New Roman" w:eastAsia="Times New Roman" w:hAnsi="Times New Roman"/>
          <w:sz w:val="18"/>
          <w:szCs w:val="18"/>
          <w:u w:val="single" w:color="auto"/>
          <w:color w:val="0000FF"/>
        </w:rPr>
        <w:t>September 30, 2022</w:t>
      </w:r>
      <w:r>
        <w:rPr>
          <w:rFonts w:ascii="Times New Roman" w:cs="Times New Roman" w:eastAsia="Times New Roman" w:hAnsi="Times New Roman"/>
          <w:sz w:val="18"/>
          <w:szCs w:val="18"/>
          <w:color w:val="auto"/>
        </w:rPr>
        <w:t xml:space="preserve"> filed with the Commission on November 7, 2022;</w:t>
      </w:r>
    </w:p>
    <w:p>
      <w:pPr>
        <w:spacing w:after="0" w:line="50" w:lineRule="exact"/>
        <w:rPr>
          <w:rFonts w:ascii="Times New Roman" w:cs="Times New Roman" w:eastAsia="Times New Roman" w:hAnsi="Times New Roman"/>
          <w:sz w:val="18"/>
          <w:szCs w:val="18"/>
          <w:color w:val="auto"/>
        </w:rPr>
      </w:pPr>
    </w:p>
    <w:p>
      <w:pPr>
        <w:ind w:left="980" w:right="200" w:hanging="324"/>
        <w:spacing w:after="0" w:line="237" w:lineRule="auto"/>
        <w:tabs>
          <w:tab w:leader="none" w:pos="9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Current Reports on Form 8-K filed with the Commission on January 18, 2022, February 28, 2022, May 23, 2022, May 26, 2022, and August 18, 2022;</w:t>
      </w:r>
    </w:p>
    <w:p>
      <w:pPr>
        <w:spacing w:after="0" w:line="63" w:lineRule="exact"/>
        <w:rPr>
          <w:rFonts w:ascii="Times New Roman" w:cs="Times New Roman" w:eastAsia="Times New Roman" w:hAnsi="Times New Roman"/>
          <w:sz w:val="18"/>
          <w:szCs w:val="18"/>
          <w:color w:val="auto"/>
        </w:rPr>
      </w:pPr>
    </w:p>
    <w:p>
      <w:pPr>
        <w:ind w:left="980" w:right="300" w:hanging="324"/>
        <w:spacing w:after="0" w:line="237" w:lineRule="auto"/>
        <w:tabs>
          <w:tab w:leader="none" w:pos="9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sections of the Registrant’s </w:t>
      </w:r>
      <w:hyperlink r:id="rId15">
        <w:r>
          <w:rPr>
            <w:rFonts w:ascii="Times New Roman" w:cs="Times New Roman" w:eastAsia="Times New Roman" w:hAnsi="Times New Roman"/>
            <w:sz w:val="18"/>
            <w:szCs w:val="18"/>
            <w:u w:val="single" w:color="auto"/>
            <w:color w:val="0000FF"/>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Schedule 14A filed with the SEC on April 7, 2022 that are incorporated by reference to the Registrant’s Annual Report on </w:t>
      </w:r>
      <w:hyperlink r:id="rId14">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and</w:t>
      </w:r>
    </w:p>
    <w:p>
      <w:pPr>
        <w:spacing w:after="0" w:line="50" w:lineRule="exact"/>
        <w:rPr>
          <w:rFonts w:ascii="Times New Roman" w:cs="Times New Roman" w:eastAsia="Times New Roman" w:hAnsi="Times New Roman"/>
          <w:sz w:val="18"/>
          <w:szCs w:val="18"/>
          <w:color w:val="auto"/>
        </w:rPr>
      </w:pPr>
    </w:p>
    <w:p>
      <w:pPr>
        <w:ind w:left="980" w:hanging="324"/>
        <w:spacing w:after="0" w:line="231" w:lineRule="auto"/>
        <w:tabs>
          <w:tab w:leader="none" w:pos="96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16">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001-38210) filed with the Commission on September 19, 2017, pursuant to Section 12(b) of the Securities Exchange Act of 1934, as amended (the “Exchange Act”), including any amendment or report filed for the purpose of updating such description.</w:t>
      </w:r>
    </w:p>
    <w:p>
      <w:pPr>
        <w:spacing w:after="0" w:line="158" w:lineRule="exact"/>
        <w:rPr>
          <w:rFonts w:ascii="Times New Roman" w:cs="Times New Roman" w:eastAsia="Times New Roman" w:hAnsi="Times New Roman"/>
          <w:sz w:val="18"/>
          <w:szCs w:val="18"/>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 xml:space="preserve">All documents and reports subsequently filed by the Registrant pursuant to Sections 13(a), 13(c), 14 and 15(d) of the Exchange Act, prior to the filing of a post-effective amendment which indicates that all securities offered have been sold or which deregisters all securities remaining unsold, shall be deemed to be incorporated by reference in this registration statement and to be part hereof from the date of filing of such documents or reports;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3" w:lineRule="exact"/>
        <w:rPr>
          <w:rFonts w:ascii="Times New Roman" w:cs="Times New Roman" w:eastAsia="Times New Roman" w:hAnsi="Times New Roman"/>
          <w:sz w:val="18"/>
          <w:szCs w:val="18"/>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Description of Securities.</w:t>
      </w: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rFonts w:ascii="Times New Roman" w:cs="Times New Roman" w:eastAsia="Times New Roman" w:hAnsi="Times New Roman"/>
          <w:sz w:val="18"/>
          <w:szCs w:val="18"/>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rFonts w:ascii="Times New Roman" w:cs="Times New Roman" w:eastAsia="Times New Roman" w:hAnsi="Times New Roman"/>
          <w:sz w:val="18"/>
          <w:szCs w:val="18"/>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ind w:right="180"/>
        <w:spacing w:after="0" w:line="211" w:lineRule="auto"/>
        <w:rPr>
          <w:sz w:val="20"/>
          <w:szCs w:val="20"/>
          <w:color w:val="auto"/>
        </w:rPr>
      </w:pPr>
      <w:r>
        <w:rPr>
          <w:rFonts w:ascii="Times New Roman" w:cs="Times New Roman" w:eastAsia="Times New Roman" w:hAnsi="Times New Roman"/>
          <w:sz w:val="18"/>
          <w:szCs w:val="18"/>
          <w:color w:val="auto"/>
        </w:rPr>
        <w:t>The Registrant’s amended and restated certificate of incorporation contains provisions that eliminate, to the maximum extent permitted by the General Corporation Law of the State of Delaware, the personal liability of the Registrant’s directors for monetary damages for breach of their fiduciary duties as</w:t>
      </w:r>
    </w:p>
    <w:p>
      <w:pPr>
        <w:spacing w:after="0" w:line="1" w:lineRule="exact"/>
        <w:rPr>
          <w:rFonts w:ascii="Times New Roman" w:cs="Times New Roman" w:eastAsia="Times New Roman" w:hAnsi="Times New Roman"/>
          <w:sz w:val="18"/>
          <w:szCs w:val="18"/>
          <w:color w:val="auto"/>
        </w:rPr>
      </w:pPr>
    </w:p>
    <w:p>
      <w:pPr>
        <w:ind w:right="260"/>
        <w:spacing w:after="0" w:line="220" w:lineRule="auto"/>
        <w:rPr>
          <w:sz w:val="20"/>
          <w:szCs w:val="20"/>
          <w:color w:val="auto"/>
        </w:rPr>
      </w:pPr>
      <w:r>
        <w:rPr>
          <w:rFonts w:ascii="Times New Roman" w:cs="Times New Roman" w:eastAsia="Times New Roman" w:hAnsi="Times New Roman"/>
          <w:sz w:val="17"/>
          <w:szCs w:val="17"/>
          <w:color w:val="auto"/>
        </w:rPr>
        <w:t xml:space="preserve">directors. The Registrant’s amended and restated certificate of incorporation and bylaws provides that the Registrant must indemnify its directors and executive officers and may indemnify its employees and other agents to the fullest extent permitted by the General Corporation Law of the State of Delaware;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Registrant is not required to indemnify any director or officer in connection with any proceeding (or part thereof)</w:t>
      </w:r>
    </w:p>
    <w:p>
      <w:pPr>
        <w:spacing w:after="0" w:line="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initiated by such person, unless the proceeding was authorized by the Registrant’s board of directors.</w:t>
      </w:r>
    </w:p>
    <w:p>
      <w:pPr>
        <w:spacing w:after="0" w:line="165" w:lineRule="exact"/>
        <w:rPr>
          <w:rFonts w:ascii="Times New Roman" w:cs="Times New Roman" w:eastAsia="Times New Roman" w:hAnsi="Times New Roman"/>
          <w:sz w:val="18"/>
          <w:szCs w:val="18"/>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In addition, the Registrant has entered into indemnification agreements with its directors and executive officers, and intends to enter into indemnification agreements with any new directors and executive officers in the future.</w:t>
      </w:r>
    </w:p>
    <w:p>
      <w:pPr>
        <w:spacing w:after="0" w:line="172" w:lineRule="exact"/>
        <w:rPr>
          <w:rFonts w:ascii="Times New Roman" w:cs="Times New Roman" w:eastAsia="Times New Roman" w:hAnsi="Times New Roman"/>
          <w:sz w:val="18"/>
          <w:szCs w:val="18"/>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w:t>
      </w:r>
    </w:p>
    <w:p>
      <w:pPr>
        <w:sectPr>
          <w:pgSz w:w="11900" w:h="16838" w:orient="portrait"/>
          <w:cols w:equalWidth="0" w:num="1">
            <w:col w:w="11200"/>
          </w:cols>
          <w:pgMar w:left="320" w:top="744" w:right="379" w:bottom="1440" w:gutter="0" w:footer="0" w:header="0"/>
        </w:sectPr>
      </w:pPr>
    </w:p>
    <w:bookmarkStart w:id="3" w:name="page4"/>
    <w:bookmarkEnd w:id="3"/>
    <w:p>
      <w:pPr>
        <w:spacing w:after="0" w:line="222" w:lineRule="auto"/>
        <w:rPr>
          <w:sz w:val="20"/>
          <w:szCs w:val="20"/>
          <w:color w:val="auto"/>
        </w:rPr>
      </w:pPr>
      <w:r>
        <w:rPr>
          <w:rFonts w:ascii="Times New Roman" w:cs="Times New Roman" w:eastAsia="Times New Roman" w:hAnsi="Times New Roman"/>
          <w:sz w:val="18"/>
          <w:szCs w:val="18"/>
          <w:color w:val="auto"/>
        </w:rPr>
        <w:t>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w:t>
      </w:r>
    </w:p>
    <w:p>
      <w:pPr>
        <w:spacing w:after="0" w:line="2"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57" w:lineRule="exact"/>
        <w:rPr>
          <w:sz w:val="20"/>
          <w:szCs w:val="20"/>
          <w:color w:val="auto"/>
        </w:rPr>
      </w:pPr>
    </w:p>
    <w:p>
      <w:pPr>
        <w:ind w:right="460"/>
        <w:spacing w:after="0" w:line="279" w:lineRule="auto"/>
        <w:rPr>
          <w:sz w:val="20"/>
          <w:szCs w:val="20"/>
          <w:color w:val="auto"/>
        </w:rPr>
      </w:pPr>
      <w:r>
        <w:rPr>
          <w:rFonts w:ascii="Times New Roman" w:cs="Times New Roman" w:eastAsia="Times New Roman" w:hAnsi="Times New Roman"/>
          <w:sz w:val="17"/>
          <w:szCs w:val="17"/>
          <w:color w:val="auto"/>
        </w:rPr>
        <w:t>The Registrant has purchased and intends to maintain insurance on behalf of each and any person who is or was a director or officer of the Registrant against any loss arising from any claim asserted against him or her and incurred by him or her in any such capacity, subject to certain exclusions.</w:t>
      </w:r>
    </w:p>
    <w:p>
      <w:pPr>
        <w:spacing w:after="0" w:line="1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00"/>
          </w:cols>
          <w:pgMar w:left="320" w:top="75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40" w:type="dxa"/>
            <w:vAlign w:val="bottom"/>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10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0" w:type="dxa"/>
            <w:vAlign w:val="bottom"/>
          </w:tcPr>
          <w:p>
            <w:pPr>
              <w:spacing w:after="0"/>
              <w:rPr>
                <w:sz w:val="1"/>
                <w:szCs w:val="1"/>
                <w:color w:val="auto"/>
              </w:rPr>
            </w:pPr>
          </w:p>
        </w:tc>
      </w:tr>
      <w:tr>
        <w:trPr>
          <w:trHeight w:val="238"/>
        </w:trPr>
        <w:tc>
          <w:tcPr>
            <w:tcW w:w="3640" w:type="dxa"/>
            <w:vAlign w:val="bottom"/>
          </w:tcPr>
          <w:p>
            <w:pPr>
              <w:jc w:val="center"/>
              <w:ind w:right="217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1380" w:right="260" w:hanging="615"/>
        <w:spacing w:after="0" w:line="245"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8">
        <w:r>
          <w:rPr>
            <w:rFonts w:ascii="Times New Roman" w:cs="Times New Roman" w:eastAsia="Times New Roman" w:hAnsi="Times New Roman"/>
            <w:sz w:val="18"/>
            <w:szCs w:val="18"/>
            <w:u w:val="single" w:color="auto"/>
            <w:color w:val="0000FF"/>
          </w:rPr>
          <w:t>Form of Common Stock Certificate (incorporated by reference to Exhibit 4.1 to the Registrant’s Registration Statement on Form S-</w:t>
        </w:r>
      </w:hyperlink>
      <w:hyperlink r:id="rId18">
        <w:r>
          <w:rPr>
            <w:rFonts w:ascii="Times New Roman" w:cs="Times New Roman" w:eastAsia="Times New Roman" w:hAnsi="Times New Roman"/>
            <w:sz w:val="18"/>
            <w:szCs w:val="18"/>
            <w:u w:val="single" w:color="auto"/>
            <w:color w:val="0000FF"/>
          </w:rPr>
          <w:t>1/A filed on September 14, 2017 (File No. 333-220085)).</w:t>
        </w:r>
      </w:hyperlink>
    </w:p>
    <w:p>
      <w:pPr>
        <w:spacing w:after="0" w:line="1" w:lineRule="exact"/>
        <w:rPr>
          <w:sz w:val="20"/>
          <w:szCs w:val="20"/>
          <w:color w:val="auto"/>
        </w:rPr>
      </w:pPr>
    </w:p>
    <w:p>
      <w:pPr>
        <w:ind w:left="760"/>
        <w:spacing w:after="0"/>
        <w:tabs>
          <w:tab w:leader="none" w:pos="13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Morrison &amp; Foerster LLP.</w:t>
      </w:r>
    </w:p>
    <w:p>
      <w:pPr>
        <w:spacing w:after="0" w:line="23" w:lineRule="exact"/>
        <w:rPr>
          <w:sz w:val="20"/>
          <w:szCs w:val="20"/>
          <w:color w:val="auto"/>
        </w:rPr>
      </w:pPr>
    </w:p>
    <w:p>
      <w:pPr>
        <w:ind w:left="1380" w:right="580" w:hanging="705"/>
        <w:spacing w:after="0" w:line="24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9">
        <w:r>
          <w:rPr>
            <w:rFonts w:ascii="Times New Roman" w:cs="Times New Roman" w:eastAsia="Times New Roman" w:hAnsi="Times New Roman"/>
            <w:sz w:val="18"/>
            <w:szCs w:val="18"/>
            <w:u w:val="single" w:color="auto"/>
            <w:color w:val="0000FF"/>
          </w:rPr>
          <w:t>Krystal Biotech, Inc. 2017 IPO Stock Incentive Plan (incorporated by reference to Exhibit 10.7 to the Registrant’s Registration</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Statement on Form S-1/A filed on September 14, 2017 (File No. 333-220085)).</w:t>
        </w:r>
      </w:hyperlink>
    </w:p>
    <w:p>
      <w:pPr>
        <w:spacing w:after="0" w:line="1" w:lineRule="exact"/>
        <w:rPr>
          <w:sz w:val="20"/>
          <w:szCs w:val="20"/>
          <w:color w:val="auto"/>
        </w:rPr>
      </w:pPr>
    </w:p>
    <w:p>
      <w:pPr>
        <w:ind w:left="1380" w:hanging="705"/>
        <w:spacing w:after="0" w:line="24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20">
        <w:r>
          <w:rPr>
            <w:rFonts w:ascii="Times New Roman" w:cs="Times New Roman" w:eastAsia="Times New Roman" w:hAnsi="Times New Roman"/>
            <w:sz w:val="18"/>
            <w:szCs w:val="18"/>
            <w:u w:val="single" w:color="auto"/>
            <w:color w:val="0000FF"/>
          </w:rPr>
          <w:t>Form Krystal Biotech, Inc. 2017 IPO Stock Incentive Plan Notice of Stock Option Award (incorporated by reference to Exhibit 10.9 to</w:t>
        </w:r>
      </w:hyperlink>
      <w:r>
        <w:rPr>
          <w:rFonts w:ascii="Times New Roman" w:cs="Times New Roman" w:eastAsia="Times New Roman" w:hAnsi="Times New Roman"/>
          <w:sz w:val="18"/>
          <w:szCs w:val="18"/>
          <w:u w:val="single" w:color="auto"/>
          <w:color w:val="0000FF"/>
        </w:rPr>
        <w:t xml:space="preserve"> </w:t>
      </w:r>
      <w:hyperlink r:id="rId20">
        <w:r>
          <w:rPr>
            <w:rFonts w:ascii="Times New Roman" w:cs="Times New Roman" w:eastAsia="Times New Roman" w:hAnsi="Times New Roman"/>
            <w:sz w:val="18"/>
            <w:szCs w:val="18"/>
            <w:u w:val="single" w:color="auto"/>
            <w:color w:val="0000FF"/>
          </w:rPr>
          <w:t>the Registrant’s Registration Statement on Form S-1/A filed on September 14, 2017 (File No. 333-220085)).</w:t>
        </w:r>
      </w:hyperlink>
    </w:p>
    <w:p>
      <w:pPr>
        <w:spacing w:after="0" w:line="1" w:lineRule="exact"/>
        <w:rPr>
          <w:sz w:val="20"/>
          <w:szCs w:val="20"/>
          <w:color w:val="auto"/>
        </w:rPr>
      </w:pPr>
    </w:p>
    <w:p>
      <w:pPr>
        <w:ind w:left="680"/>
        <w:spacing w:after="0"/>
        <w:tabs>
          <w:tab w:leader="none" w:pos="13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Mayer Hoffman McCann P.C., independent public accounting firm.</w:t>
      </w:r>
    </w:p>
    <w:p>
      <w:pPr>
        <w:spacing w:after="0" w:line="23" w:lineRule="exact"/>
        <w:rPr>
          <w:sz w:val="20"/>
          <w:szCs w:val="20"/>
          <w:color w:val="auto"/>
        </w:rPr>
      </w:pPr>
    </w:p>
    <w:p>
      <w:pPr>
        <w:ind w:left="680"/>
        <w:spacing w:after="0"/>
        <w:tabs>
          <w:tab w:leader="none" w:pos="13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Morrison &amp; Foerster LLP (included in Exhibit 5.1).</w:t>
      </w:r>
    </w:p>
    <w:p>
      <w:pPr>
        <w:spacing w:after="0" w:line="23" w:lineRule="exact"/>
        <w:rPr>
          <w:sz w:val="20"/>
          <w:szCs w:val="20"/>
          <w:color w:val="auto"/>
        </w:rPr>
      </w:pPr>
    </w:p>
    <w:p>
      <w:pPr>
        <w:ind w:left="680"/>
        <w:spacing w:after="0"/>
        <w:tabs>
          <w:tab w:leader="none" w:pos="13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(included on signature page).</w:t>
      </w:r>
    </w:p>
    <w:p>
      <w:pPr>
        <w:spacing w:after="0" w:line="31" w:lineRule="exact"/>
        <w:rPr>
          <w:sz w:val="20"/>
          <w:szCs w:val="20"/>
          <w:color w:val="auto"/>
        </w:rPr>
      </w:pPr>
    </w:p>
    <w:p>
      <w:pPr>
        <w:ind w:left="1380" w:hanging="661"/>
        <w:spacing w:after="0"/>
        <w:tabs>
          <w:tab w:leader="none" w:pos="1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ectPr>
          <w:pgSz w:w="11900" w:h="16838" w:orient="portrait"/>
          <w:cols w:equalWidth="0" w:num="1">
            <w:col w:w="11080"/>
          </w:cols>
          <w:pgMar w:left="320" w:top="752" w:right="499" w:bottom="1440" w:gutter="0" w:footer="0" w:header="0"/>
        </w:sectPr>
      </w:pPr>
    </w:p>
    <w:bookmarkStart w:id="5" w:name="page6"/>
    <w:bookmarkEnd w:id="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tab/>
        <w:t>Undertakings.</w:t>
      </w: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78"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8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185" w:lineRule="exact"/>
        <w:rPr>
          <w:sz w:val="20"/>
          <w:szCs w:val="20"/>
          <w:color w:val="auto"/>
        </w:rPr>
      </w:pPr>
    </w:p>
    <w:p>
      <w:pPr>
        <w:ind w:right="40" w:firstLine="8"/>
        <w:spacing w:after="0" w:line="220"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57" w:lineRule="exact"/>
        <w:rPr>
          <w:rFonts w:ascii="Times New Roman" w:cs="Times New Roman" w:eastAsia="Times New Roman" w:hAnsi="Times New Roman"/>
          <w:sz w:val="18"/>
          <w:szCs w:val="18"/>
          <w:color w:val="auto"/>
        </w:rPr>
      </w:pPr>
    </w:p>
    <w:p>
      <w:pPr>
        <w:ind w:right="540" w:firstLine="8"/>
        <w:spacing w:after="0" w:line="250" w:lineRule="auto"/>
        <w:tabs>
          <w:tab w:leader="none" w:pos="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7"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(a)(1)(i) and (a)(1)(ii) do not apply if the information required to be included in a post-effective amendment by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paragraphs is contained in periodic reports filed with or furnished to the Commission by the Registrant pursuant to Section 13 or Section 15(d) of the</w:t>
      </w:r>
    </w:p>
    <w:p>
      <w:pPr>
        <w:spacing w:after="0"/>
        <w:rPr>
          <w:sz w:val="20"/>
          <w:szCs w:val="20"/>
          <w:color w:val="auto"/>
        </w:rPr>
      </w:pPr>
      <w:r>
        <w:rPr>
          <w:rFonts w:ascii="Times New Roman" w:cs="Times New Roman" w:eastAsia="Times New Roman" w:hAnsi="Times New Roman"/>
          <w:sz w:val="18"/>
          <w:szCs w:val="18"/>
          <w:color w:val="auto"/>
        </w:rPr>
        <w:t>Securities Exchange Act of 1934 that are incorporated by reference in this Registration Statement.</w:t>
      </w:r>
    </w:p>
    <w:p>
      <w:pPr>
        <w:spacing w:after="0" w:line="165" w:lineRule="exact"/>
        <w:rPr>
          <w:sz w:val="20"/>
          <w:szCs w:val="20"/>
          <w:color w:val="auto"/>
        </w:rPr>
      </w:pPr>
    </w:p>
    <w:p>
      <w:pPr>
        <w:ind w:right="260" w:firstLine="8"/>
        <w:spacing w:after="0" w:line="231"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58" w:lineRule="exact"/>
        <w:rPr>
          <w:rFonts w:ascii="Times New Roman" w:cs="Times New Roman" w:eastAsia="Times New Roman" w:hAnsi="Times New Roman"/>
          <w:sz w:val="18"/>
          <w:szCs w:val="18"/>
          <w:color w:val="auto"/>
        </w:rPr>
      </w:pPr>
    </w:p>
    <w:p>
      <w:pPr>
        <w:ind w:right="220" w:firstLine="8"/>
        <w:spacing w:after="0" w:line="237"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72" w:lineRule="exact"/>
        <w:rPr>
          <w:sz w:val="20"/>
          <w:szCs w:val="20"/>
          <w:color w:val="auto"/>
        </w:rPr>
      </w:pPr>
    </w:p>
    <w:p>
      <w:pPr>
        <w:ind w:firstLine="8"/>
        <w:spacing w:after="0" w:line="220"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58" w:lineRule="exact"/>
        <w:rPr>
          <w:rFonts w:ascii="Times New Roman" w:cs="Times New Roman" w:eastAsia="Times New Roman" w:hAnsi="Times New Roman"/>
          <w:sz w:val="18"/>
          <w:szCs w:val="18"/>
          <w:color w:val="auto"/>
        </w:rPr>
      </w:pPr>
    </w:p>
    <w:p>
      <w:pPr>
        <w:ind w:right="60" w:firstLine="8"/>
        <w:spacing w:after="0" w:line="217"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220"/>
          </w:cols>
          <w:pgMar w:left="320" w:top="744" w:right="3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740"/>
        <w:spacing w:after="0" w:line="23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Pittsburgh, Commonwealth of Pennsylvania, on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day of February, 2023.</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ind w:left="5460"/>
        <w:spacing w:after="0" w:line="183" w:lineRule="auto"/>
        <w:tabs>
          <w:tab w:leader="none" w:pos="6200" w:val="left"/>
        </w:tabs>
        <w:rPr>
          <w:sz w:val="20"/>
          <w:szCs w:val="20"/>
          <w:color w:val="auto"/>
        </w:rPr>
      </w:pPr>
      <w:r>
        <w:rPr>
          <w:rFonts w:ascii="Times New Roman" w:cs="Times New Roman" w:eastAsia="Times New Roman" w:hAnsi="Times New Roman"/>
          <w:sz w:val="33"/>
          <w:szCs w:val="33"/>
          <w:color w:val="auto"/>
          <w:vertAlign w:val="subscript"/>
        </w:rPr>
        <w:t>By:</w:t>
      </w:r>
      <w:r>
        <w:rPr>
          <w:sz w:val="20"/>
          <w:szCs w:val="20"/>
          <w:color w:val="auto"/>
        </w:rPr>
        <w:tab/>
      </w:r>
      <w:r>
        <w:rPr>
          <w:rFonts w:ascii="Times New Roman" w:cs="Times New Roman" w:eastAsia="Times New Roman" w:hAnsi="Times New Roman"/>
          <w:sz w:val="17"/>
          <w:szCs w:val="17"/>
          <w:color w:val="auto"/>
        </w:rPr>
        <w:t>/s/ Krish S. Krishnan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153670</wp:posOffset>
            </wp:positionV>
            <wp:extent cx="1303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4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Krish S. Krishnan</w:t>
      </w:r>
    </w:p>
    <w:p>
      <w:pPr>
        <w:spacing w:after="0" w:line="7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President and Chief</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Krish S. Krishnan as his or her true and lawful attorney-in-fact and agent, with full power of substitution and resubstitution, for him and in his name, place and stead, in any and all capacities, to sign any and all amendments to this Registration Statement (including post-effective amendments to the registration statement), and to file</w:t>
      </w:r>
    </w:p>
    <w:p>
      <w:pPr>
        <w:jc w:val="both"/>
        <w:spacing w:after="0" w:line="208" w:lineRule="auto"/>
        <w:rPr>
          <w:sz w:val="20"/>
          <w:szCs w:val="20"/>
          <w:color w:val="auto"/>
        </w:rPr>
      </w:pPr>
      <w:r>
        <w:rPr>
          <w:rFonts w:ascii="Times New Roman" w:cs="Times New Roman" w:eastAsia="Times New Roman" w:hAnsi="Times New Roman"/>
          <w:sz w:val="18"/>
          <w:szCs w:val="18"/>
          <w:color w:val="auto"/>
        </w:rPr>
        <w:t>the same, with all exhibits thereto, and any other documents in connection therewith,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 or substitutes, may lawfully do or cause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done by virtue hereof.</w:t>
      </w:r>
    </w:p>
    <w:p>
      <w:pPr>
        <w:spacing w:after="0" w:line="165"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42" w:lineRule="exact"/>
        <w:rPr>
          <w:sz w:val="20"/>
          <w:szCs w:val="20"/>
          <w:color w:val="auto"/>
        </w:rPr>
      </w:pPr>
    </w:p>
    <w:p>
      <w:pPr>
        <w:ind w:left="20"/>
        <w:spacing w:after="0"/>
        <w:tabs>
          <w:tab w:leader="none" w:pos="6220" w:val="left"/>
          <w:tab w:leader="none" w:pos="1008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Capacity</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Krish S. Krishnan</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 and Chairman</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54"/>
        </w:trPr>
        <w:tc>
          <w:tcPr>
            <w:tcW w:w="3800" w:type="dxa"/>
            <w:vAlign w:val="bottom"/>
            <w:tcBorders>
              <w:bottom w:val="single" w:sz="8" w:color="auto"/>
            </w:tcBorders>
          </w:tcPr>
          <w:p>
            <w:pPr>
              <w:spacing w:after="0"/>
              <w:rPr>
                <w:sz w:val="4"/>
                <w:szCs w:val="4"/>
                <w:color w:val="auto"/>
              </w:rPr>
            </w:pPr>
          </w:p>
        </w:tc>
        <w:tc>
          <w:tcPr>
            <w:tcW w:w="4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Krish S. Krishnan</w:t>
            </w:r>
          </w:p>
        </w:tc>
        <w:tc>
          <w:tcPr>
            <w:tcW w:w="4720" w:type="dxa"/>
            <w:vAlign w:val="bottom"/>
            <w:vMerge w:val="continue"/>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800" w:type="dxa"/>
            <w:vAlign w:val="bottom"/>
            <w:vMerge w:val="continue"/>
          </w:tcPr>
          <w:p>
            <w:pPr>
              <w:spacing w:after="0"/>
              <w:rPr>
                <w:sz w:val="5"/>
                <w:szCs w:val="5"/>
                <w:color w:val="auto"/>
              </w:rPr>
            </w:pPr>
          </w:p>
        </w:tc>
        <w:tc>
          <w:tcPr>
            <w:tcW w:w="47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Kathryn A. Romano</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94"/>
        </w:trPr>
        <w:tc>
          <w:tcPr>
            <w:tcW w:w="3800" w:type="dxa"/>
            <w:vAlign w:val="bottom"/>
            <w:tcBorders>
              <w:bottom w:val="single" w:sz="8" w:color="auto"/>
            </w:tcBorders>
          </w:tcPr>
          <w:p>
            <w:pPr>
              <w:spacing w:after="0"/>
              <w:rPr>
                <w:sz w:val="8"/>
                <w:szCs w:val="8"/>
                <w:color w:val="auto"/>
              </w:rPr>
            </w:pPr>
          </w:p>
        </w:tc>
        <w:tc>
          <w:tcPr>
            <w:tcW w:w="4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Kathryn A. Romano</w:t>
            </w:r>
          </w:p>
        </w:tc>
        <w:tc>
          <w:tcPr>
            <w:tcW w:w="4720" w:type="dxa"/>
            <w:vAlign w:val="bottom"/>
            <w:vMerge w:val="continue"/>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vMerge w:val="continue"/>
          </w:tcPr>
          <w:p>
            <w:pPr>
              <w:spacing w:after="0"/>
              <w:rPr>
                <w:sz w:val="9"/>
                <w:szCs w:val="9"/>
                <w:color w:val="auto"/>
              </w:rPr>
            </w:pPr>
          </w:p>
        </w:tc>
        <w:tc>
          <w:tcPr>
            <w:tcW w:w="47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Suma M. Krishnan</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R&amp;D and Director</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40"/>
        </w:trPr>
        <w:tc>
          <w:tcPr>
            <w:tcW w:w="3800" w:type="dxa"/>
            <w:vAlign w:val="bottom"/>
            <w:tcBorders>
              <w:bottom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 M. Krishnan</w:t>
            </w:r>
          </w:p>
        </w:tc>
        <w:tc>
          <w:tcPr>
            <w:tcW w:w="47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Kirti Ganorkar</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40"/>
        </w:trPr>
        <w:tc>
          <w:tcPr>
            <w:tcW w:w="3800" w:type="dxa"/>
            <w:vAlign w:val="bottom"/>
            <w:tcBorders>
              <w:bottom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Kirti Ganorkar</w:t>
            </w:r>
          </w:p>
        </w:tc>
        <w:tc>
          <w:tcPr>
            <w:tcW w:w="4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Daniel S. Janney</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40"/>
        </w:trPr>
        <w:tc>
          <w:tcPr>
            <w:tcW w:w="3800" w:type="dxa"/>
            <w:vAlign w:val="bottom"/>
            <w:tcBorders>
              <w:bottom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 Janney</w:t>
            </w:r>
          </w:p>
        </w:tc>
        <w:tc>
          <w:tcPr>
            <w:tcW w:w="4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Dino A. Rossi</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40"/>
        </w:trPr>
        <w:tc>
          <w:tcPr>
            <w:tcW w:w="3800" w:type="dxa"/>
            <w:vAlign w:val="bottom"/>
            <w:tcBorders>
              <w:bottom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Dino A. Rossi</w:t>
            </w:r>
          </w:p>
        </w:tc>
        <w:tc>
          <w:tcPr>
            <w:tcW w:w="4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Julian Gangolli</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40"/>
        </w:trPr>
        <w:tc>
          <w:tcPr>
            <w:tcW w:w="3800" w:type="dxa"/>
            <w:vAlign w:val="bottom"/>
            <w:tcBorders>
              <w:bottom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Julian Gangolli</w:t>
            </w:r>
          </w:p>
        </w:tc>
        <w:tc>
          <w:tcPr>
            <w:tcW w:w="4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 Rand Sutherland</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40"/>
        </w:trPr>
        <w:tc>
          <w:tcPr>
            <w:tcW w:w="3800" w:type="dxa"/>
            <w:vAlign w:val="bottom"/>
            <w:tcBorders>
              <w:bottom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 Rand Sutherland</w:t>
            </w:r>
          </w:p>
        </w:tc>
        <w:tc>
          <w:tcPr>
            <w:tcW w:w="4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Christopher Mason</w:t>
            </w: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February 2, 2023</w:t>
            </w:r>
          </w:p>
        </w:tc>
        <w:tc>
          <w:tcPr>
            <w:tcW w:w="0" w:type="dxa"/>
            <w:vAlign w:val="bottom"/>
          </w:tcPr>
          <w:p>
            <w:pPr>
              <w:spacing w:after="0"/>
              <w:rPr>
                <w:sz w:val="1"/>
                <w:szCs w:val="1"/>
                <w:color w:val="auto"/>
              </w:rPr>
            </w:pPr>
          </w:p>
        </w:tc>
      </w:tr>
      <w:tr>
        <w:trPr>
          <w:trHeight w:val="41"/>
        </w:trPr>
        <w:tc>
          <w:tcPr>
            <w:tcW w:w="3800" w:type="dxa"/>
            <w:vAlign w:val="bottom"/>
            <w:tcBorders>
              <w:bottom w:val="single" w:sz="8" w:color="auto"/>
            </w:tcBorders>
          </w:tcPr>
          <w:p>
            <w:pPr>
              <w:spacing w:after="0"/>
              <w:rPr>
                <w:sz w:val="3"/>
                <w:szCs w:val="3"/>
                <w:color w:val="auto"/>
              </w:rPr>
            </w:pPr>
          </w:p>
        </w:tc>
        <w:tc>
          <w:tcPr>
            <w:tcW w:w="47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Mason</w:t>
            </w:r>
          </w:p>
        </w:tc>
        <w:tc>
          <w:tcPr>
            <w:tcW w:w="47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752" w:right="359" w:bottom="1440" w:gutter="0" w:footer="0" w:header="0"/>
        </w:sectPr>
      </w:pPr>
    </w:p>
    <w:bookmarkStart w:id="7" w:name="page8"/>
    <w:bookmarkEnd w:id="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020" w:type="dxa"/>
            <w:vAlign w:val="bottom"/>
            <w:tcBorders>
              <w:top w:val="single" w:sz="8" w:color="auto"/>
              <w:left w:val="single" w:sz="8" w:color="auto"/>
              <w:right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40" w:type="dxa"/>
            <w:vAlign w:val="bottom"/>
            <w:tcBorders>
              <w:top w:val="single" w:sz="8" w:color="auto"/>
            </w:tcBorders>
          </w:tcPr>
          <w:p>
            <w:pPr>
              <w:spacing w:after="0"/>
              <w:rPr>
                <w:sz w:val="17"/>
                <w:szCs w:val="17"/>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Registered (1)</w:t>
            </w: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Aggregate</w:t>
            </w: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r>
      <w:tr>
        <w:trPr>
          <w:trHeight w:val="189"/>
        </w:trPr>
        <w:tc>
          <w:tcPr>
            <w:tcW w:w="102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Rule</w:t>
            </w:r>
          </w:p>
        </w:tc>
        <w:tc>
          <w:tcPr>
            <w:tcW w:w="16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0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r>
      <w:tr>
        <w:trPr>
          <w:trHeight w:val="176"/>
        </w:trPr>
        <w:tc>
          <w:tcPr>
            <w:tcW w:w="1020" w:type="dxa"/>
            <w:vAlign w:val="bottom"/>
            <w:tcBorders>
              <w:left w:val="single" w:sz="8" w:color="auto"/>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64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4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190"/>
        </w:trPr>
        <w:tc>
          <w:tcPr>
            <w:tcW w:w="102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4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r>
      <w:tr>
        <w:trPr>
          <w:trHeight w:val="23"/>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87"/>
        </w:trPr>
        <w:tc>
          <w:tcPr>
            <w:tcW w:w="10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Fees to Be Paid</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Equity</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6"/>
                <w:szCs w:val="16"/>
                <w:color w:val="auto"/>
              </w:rPr>
            </w:pPr>
          </w:p>
        </w:tc>
        <w:tc>
          <w:tcPr>
            <w:tcW w:w="118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457(c) and 457 (h)</w:t>
            </w:r>
          </w:p>
        </w:tc>
        <w:tc>
          <w:tcPr>
            <w:tcW w:w="1640" w:type="dxa"/>
            <w:vAlign w:val="bottom"/>
            <w:tcBorders>
              <w:right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1,027,885(2)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$82.04(3)</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$84,327,685.40</w:t>
            </w:r>
          </w:p>
        </w:tc>
        <w:tc>
          <w:tcPr>
            <w:tcW w:w="1060" w:type="dxa"/>
            <w:vAlign w:val="bottom"/>
            <w:tcBorders>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0.0001102</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$9,292.91</w:t>
            </w:r>
          </w:p>
        </w:tc>
      </w:tr>
      <w:tr>
        <w:trPr>
          <w:trHeight w:val="188"/>
        </w:trPr>
        <w:tc>
          <w:tcPr>
            <w:tcW w:w="102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$0.00001 par value per</w:t>
            </w:r>
          </w:p>
        </w:tc>
        <w:tc>
          <w:tcPr>
            <w:tcW w:w="4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r>
      <w:tr>
        <w:trPr>
          <w:trHeight w:val="189"/>
        </w:trPr>
        <w:tc>
          <w:tcPr>
            <w:tcW w:w="1020" w:type="dxa"/>
            <w:vAlign w:val="bottom"/>
            <w:tcBorders>
              <w:left w:val="single" w:sz="8" w:color="auto"/>
              <w:right w:val="single" w:sz="8" w:color="auto"/>
            </w:tcBorders>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40" w:type="dxa"/>
            <w:vAlign w:val="bottom"/>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r>
      <w:tr>
        <w:trPr>
          <w:trHeight w:val="23"/>
        </w:trPr>
        <w:tc>
          <w:tcPr>
            <w:tcW w:w="102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gridSpan w:val="2"/>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00"/>
        </w:trPr>
        <w:tc>
          <w:tcPr>
            <w:tcW w:w="1020" w:type="dxa"/>
            <w:vAlign w:val="bottom"/>
            <w:tcBorders>
              <w:lef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600" w:type="dxa"/>
            <w:vAlign w:val="bottom"/>
            <w:gridSpan w:val="3"/>
          </w:tcPr>
          <w:p>
            <w:pPr>
              <w:jc w:val="center"/>
              <w:ind w:right="408"/>
              <w:spacing w:after="0"/>
              <w:rPr>
                <w:sz w:val="20"/>
                <w:szCs w:val="20"/>
                <w:color w:val="auto"/>
              </w:rPr>
            </w:pPr>
            <w:r>
              <w:rPr>
                <w:rFonts w:ascii="Times New Roman" w:cs="Times New Roman" w:eastAsia="Times New Roman" w:hAnsi="Times New Roman"/>
                <w:sz w:val="14"/>
                <w:szCs w:val="14"/>
                <w:color w:val="auto"/>
              </w:rPr>
              <w:t>Total Offering Amounts</w:t>
            </w:r>
          </w:p>
        </w:tc>
        <w:tc>
          <w:tcPr>
            <w:tcW w:w="1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$84,327,685.40</w:t>
            </w:r>
          </w:p>
        </w:tc>
        <w:tc>
          <w:tcPr>
            <w:tcW w:w="10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$9,292.91</w:t>
            </w:r>
          </w:p>
        </w:tc>
      </w:tr>
      <w:tr>
        <w:trPr>
          <w:trHeight w:val="23"/>
        </w:trPr>
        <w:tc>
          <w:tcPr>
            <w:tcW w:w="10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00"/>
        </w:trPr>
        <w:tc>
          <w:tcPr>
            <w:tcW w:w="1020" w:type="dxa"/>
            <w:vAlign w:val="bottom"/>
            <w:tcBorders>
              <w:lef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600" w:type="dxa"/>
            <w:vAlign w:val="bottom"/>
            <w:gridSpan w:val="3"/>
          </w:tcPr>
          <w:p>
            <w:pPr>
              <w:jc w:val="center"/>
              <w:ind w:right="408"/>
              <w:spacing w:after="0"/>
              <w:rPr>
                <w:sz w:val="20"/>
                <w:szCs w:val="20"/>
                <w:color w:val="auto"/>
              </w:rPr>
            </w:pPr>
            <w:r>
              <w:rPr>
                <w:rFonts w:ascii="Times New Roman" w:cs="Times New Roman" w:eastAsia="Times New Roman" w:hAnsi="Times New Roman"/>
                <w:sz w:val="14"/>
                <w:szCs w:val="14"/>
                <w:color w:val="auto"/>
              </w:rPr>
              <w:t>Total Fee Offsets</w:t>
            </w:r>
          </w:p>
        </w:tc>
        <w:tc>
          <w:tcPr>
            <w:tcW w:w="1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10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199"/>
        </w:trPr>
        <w:tc>
          <w:tcPr>
            <w:tcW w:w="1020" w:type="dxa"/>
            <w:vAlign w:val="bottom"/>
            <w:tcBorders>
              <w:lef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gridSpan w:val="2"/>
          </w:tcPr>
          <w:p>
            <w:pPr>
              <w:jc w:val="center"/>
              <w:ind w:left="628"/>
              <w:spacing w:after="0"/>
              <w:rPr>
                <w:sz w:val="20"/>
                <w:szCs w:val="20"/>
                <w:color w:val="auto"/>
              </w:rPr>
            </w:pPr>
            <w:r>
              <w:rPr>
                <w:rFonts w:ascii="Times New Roman" w:cs="Times New Roman" w:eastAsia="Times New Roman" w:hAnsi="Times New Roman"/>
                <w:sz w:val="14"/>
                <w:szCs w:val="14"/>
                <w:color w:val="auto"/>
              </w:rPr>
              <w:t>Net Fee Due</w:t>
            </w:r>
          </w:p>
        </w:tc>
        <w:tc>
          <w:tcPr>
            <w:tcW w:w="1180" w:type="dxa"/>
            <w:vAlign w:val="bottom"/>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$9,292.91</w:t>
            </w:r>
          </w:p>
        </w:tc>
      </w:tr>
      <w:tr>
        <w:trPr>
          <w:trHeight w:val="23"/>
        </w:trPr>
        <w:tc>
          <w:tcPr>
            <w:tcW w:w="102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54" w:lineRule="exact"/>
        <w:rPr>
          <w:sz w:val="20"/>
          <w:szCs w:val="20"/>
          <w:color w:val="auto"/>
        </w:rPr>
      </w:pPr>
    </w:p>
    <w:p>
      <w:pPr>
        <w:ind w:left="340" w:right="1480" w:hanging="332"/>
        <w:spacing w:after="0" w:line="292" w:lineRule="auto"/>
        <w:tabs>
          <w:tab w:leader="none" w:pos="40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under the Securities Act of 1933, as amended (the “Securities Act”), this Registration Statement shall also cover any additional shares of common stock that become issuable under Krystal Biotech, Inc. (the “Registrant”)’s 2017 IPO Stock Incentive Plan (the “Plan”), by reason of certain corporate transactions or events, including any share dividend, share split, recapitalization or certain other transactions that result in an increase in the number of the outstanding shares of the common stock.</w:t>
      </w:r>
    </w:p>
    <w:p>
      <w:pPr>
        <w:spacing w:after="0" w:line="101" w:lineRule="exact"/>
        <w:rPr>
          <w:rFonts w:ascii="Times New Roman" w:cs="Times New Roman" w:eastAsia="Times New Roman" w:hAnsi="Times New Roman"/>
          <w:sz w:val="17"/>
          <w:szCs w:val="17"/>
          <w:color w:val="auto"/>
        </w:rPr>
      </w:pPr>
    </w:p>
    <w:p>
      <w:pPr>
        <w:ind w:left="340" w:right="1920" w:hanging="332"/>
        <w:spacing w:after="0" w:line="312" w:lineRule="auto"/>
        <w:tabs>
          <w:tab w:leader="none" w:pos="40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common stock that were added to the shares reserved for future issuance under the Plan pursuant to the “evergreen” provision of the Plan, which was originally approved by the Registrant’s stockholders on September 5, 2017.</w:t>
      </w:r>
    </w:p>
    <w:p>
      <w:pPr>
        <w:spacing w:after="0" w:line="85" w:lineRule="exact"/>
        <w:rPr>
          <w:rFonts w:ascii="Times New Roman" w:cs="Times New Roman" w:eastAsia="Times New Roman" w:hAnsi="Times New Roman"/>
          <w:sz w:val="17"/>
          <w:szCs w:val="17"/>
          <w:color w:val="auto"/>
        </w:rPr>
      </w:pPr>
    </w:p>
    <w:p>
      <w:pPr>
        <w:ind w:left="340" w:right="1180" w:hanging="332"/>
        <w:spacing w:after="0" w:line="274" w:lineRule="auto"/>
        <w:tabs>
          <w:tab w:leader="none" w:pos="4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Rules 457(c) and (h) under the Securities Act solely for the purpose of calculating the registration fee on the basis of $82.04 per share, which represents the average of the high and low sales prices of the Registrant’s common stock as reported on the Nasdaq Capital Market on February 1, 2023.</w:t>
      </w:r>
    </w:p>
    <w:p>
      <w:pPr>
        <w:sectPr>
          <w:pgSz w:w="11900" w:h="16838" w:orient="portrait"/>
          <w:cols w:equalWidth="0" w:num="1">
            <w:col w:w="11260"/>
          </w:cols>
          <w:pgMar w:left="320" w:top="104" w:right="319" w:bottom="1440" w:gutter="0" w:footer="0" w:header="0"/>
        </w:sectPr>
      </w:pPr>
    </w:p>
    <w:bookmarkStart w:id="8" w:name="page9"/>
    <w:bookmarkEnd w:id="8"/>
    <w:p>
      <w:pPr>
        <w:ind w:left="10140"/>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OPINION OF MORRISON &amp; FOERSTER, LLP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 2023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Krystal Biotech, Inc.</w:t>
      </w:r>
    </w:p>
    <w:p>
      <w:pPr>
        <w:spacing w:after="0" w:line="203" w:lineRule="auto"/>
        <w:rPr>
          <w:sz w:val="20"/>
          <w:szCs w:val="20"/>
          <w:color w:val="auto"/>
        </w:rPr>
      </w:pPr>
      <w:r>
        <w:rPr>
          <w:rFonts w:ascii="Times New Roman" w:cs="Times New Roman" w:eastAsia="Times New Roman" w:hAnsi="Times New Roman"/>
          <w:sz w:val="18"/>
          <w:szCs w:val="18"/>
          <w:color w:val="auto"/>
        </w:rPr>
        <w:t>2100 Wharton Street, Suite 701</w:t>
      </w:r>
    </w:p>
    <w:p>
      <w:pPr>
        <w:spacing w:after="0" w:line="219" w:lineRule="auto"/>
        <w:rPr>
          <w:sz w:val="20"/>
          <w:szCs w:val="20"/>
          <w:color w:val="auto"/>
        </w:rPr>
      </w:pPr>
      <w:r>
        <w:rPr>
          <w:rFonts w:ascii="Times New Roman" w:cs="Times New Roman" w:eastAsia="Times New Roman" w:hAnsi="Times New Roman"/>
          <w:sz w:val="18"/>
          <w:szCs w:val="18"/>
          <w:color w:val="auto"/>
        </w:rPr>
        <w:t>Pittsburgh, Pennsylvania 15203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acting as counsel to Krystal Biotech,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its registration statement on Form</w:t>
      </w:r>
    </w:p>
    <w:p>
      <w:pPr>
        <w:spacing w:after="0" w:line="2" w:lineRule="exact"/>
        <w:rPr>
          <w:sz w:val="20"/>
          <w:szCs w:val="20"/>
          <w:color w:val="auto"/>
        </w:rPr>
      </w:pPr>
    </w:p>
    <w:p>
      <w:pPr>
        <w:ind w:right="460"/>
        <w:spacing w:after="0" w:line="218" w:lineRule="auto"/>
        <w:rPr>
          <w:sz w:val="20"/>
          <w:szCs w:val="20"/>
          <w:color w:val="auto"/>
        </w:rPr>
      </w:pPr>
      <w:r>
        <w:rPr>
          <w:rFonts w:ascii="Times New Roman" w:cs="Times New Roman" w:eastAsia="Times New Roman" w:hAnsi="Times New Roman"/>
          <w:sz w:val="18"/>
          <w:szCs w:val="18"/>
          <w:color w:val="auto"/>
        </w:rPr>
        <w:t>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relating to an aggregate of up to 1,027,885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$0.00001 par value per share, reserved for issuance pursuant to the Company’s 2017 IPO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120" w:firstLine="648"/>
        <w:spacing w:after="0" w:line="216" w:lineRule="auto"/>
        <w:rPr>
          <w:sz w:val="20"/>
          <w:szCs w:val="20"/>
          <w:color w:val="auto"/>
        </w:rPr>
      </w:pPr>
      <w:r>
        <w:rPr>
          <w:rFonts w:ascii="Times New Roman" w:cs="Times New Roman" w:eastAsia="Times New Roman" w:hAnsi="Times New Roman"/>
          <w:sz w:val="18"/>
          <w:szCs w:val="18"/>
          <w:color w:val="auto"/>
        </w:rPr>
        <w:t>As counsel for the Company, we have examined originals or copies, certified or otherwise identified to our satisfaction, of such documents, corporate records, certificates of public officials and other instruments as we have deemed necessary for the purposes of rendering this opinion and we are familiar with the proceedings taken and proposed to be taken by the Company in connection with the authorization, issuance and sale of the Shares. In our</w:t>
      </w:r>
    </w:p>
    <w:p>
      <w:pPr>
        <w:spacing w:after="0" w:line="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examination, we have assumed the genuineness of all signatures, the authenticity of all documents submitted to us as originals and the conformity with the originals of all documents submitted to us as copies.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letter is based as to matters of law solely on the Delaware General Corporation Law, as amended. We express no opinion herein as to</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any other laws, statutes, ordinances, rules, or regulations. As used herein, the term “Delaware General Corporation Law, as amended” includes the statutory provisions contained therein, all applicable provisions of the Delaware Constitution and reported judicial decisions interpreting these laws.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subject to and limited by the foregoing, it is our opinion that following (i) effectiveness of the Registration Statement, (ii) issuance of</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the Shares pursuant to the terms of the Plan, and (iii) receipt by the Company of the consideration for the Shares specified in the applicable resolutions of the Board of Directors or a duly authorized committee thereof and the Plan, the Shares will be validly issued, fully paid and nonassessable.</w:t>
      </w:r>
    </w:p>
    <w:p>
      <w:pPr>
        <w:spacing w:after="0" w:line="18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Registration Statement. We assume no obligation to advise you of any changes in the foregoing subsequent to the effective date of the Registration Statement.</w:t>
      </w:r>
    </w:p>
    <w:p>
      <w:pPr>
        <w:spacing w:after="0" w:line="176"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7"/>
          <w:szCs w:val="17"/>
          <w:color w:val="auto"/>
        </w:rPr>
        <w:t>We consent to the use of this opinion as an exhibit to the Registration Statement, and we consent to the reference of our name wherever appearing in the Registration Statement and any amendments thereto. In giving such consent, we do not thereby admit that we are in the category of persons whose</w:t>
      </w:r>
    </w:p>
    <w:p>
      <w:pPr>
        <w:spacing w:after="0"/>
        <w:rPr>
          <w:sz w:val="20"/>
          <w:szCs w:val="20"/>
          <w:color w:val="auto"/>
        </w:rPr>
      </w:pPr>
      <w:r>
        <w:rPr>
          <w:rFonts w:ascii="Times New Roman" w:cs="Times New Roman" w:eastAsia="Times New Roman" w:hAnsi="Times New Roman"/>
          <w:sz w:val="18"/>
          <w:szCs w:val="18"/>
          <w:color w:val="auto"/>
        </w:rPr>
        <w:t>consent is required under Section 7 of the Securities Act.</w:t>
      </w:r>
    </w:p>
    <w:p>
      <w:pPr>
        <w:spacing w:after="0" w:line="19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Morrison &amp; Foerster LLP</w:t>
      </w:r>
    </w:p>
    <w:p>
      <w:pPr>
        <w:sectPr>
          <w:pgSz w:w="11900" w:h="16838" w:orient="portrait"/>
          <w:cols w:equalWidth="0" w:num="1">
            <w:col w:w="11240"/>
          </w:cols>
          <w:pgMar w:left="320" w:top="13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consent to the incorporation by reference in this Registration Statement on Form S-8 of our report dated February 28, 2022, with respect</w:t>
      </w:r>
    </w:p>
    <w:p>
      <w:pPr>
        <w:spacing w:after="0" w:line="221" w:lineRule="auto"/>
        <w:rPr>
          <w:sz w:val="20"/>
          <w:szCs w:val="20"/>
          <w:color w:val="auto"/>
        </w:rPr>
      </w:pPr>
      <w:r>
        <w:rPr>
          <w:rFonts w:ascii="Times New Roman" w:cs="Times New Roman" w:eastAsia="Times New Roman" w:hAnsi="Times New Roman"/>
          <w:sz w:val="20"/>
          <w:szCs w:val="20"/>
          <w:color w:val="auto"/>
        </w:rPr>
        <w:t>to the consolidated financial statements of Krystal Biotech, Inc. (Company) as of December 31, 2021 and 2020 and for each of the two years in the period ended December 31, 2021, included in the Annual Report on Form 10-K for the year ended December 31,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Mayer Hoffman McCann P.C.</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Diego, California</w:t>
      </w:r>
    </w:p>
    <w:p>
      <w:pPr>
        <w:spacing w:after="0"/>
        <w:rPr>
          <w:sz w:val="20"/>
          <w:szCs w:val="20"/>
          <w:color w:val="auto"/>
        </w:rPr>
      </w:pPr>
      <w:r>
        <w:rPr>
          <w:rFonts w:ascii="Times New Roman" w:cs="Times New Roman" w:eastAsia="Times New Roman" w:hAnsi="Times New Roman"/>
          <w:sz w:val="20"/>
          <w:szCs w:val="20"/>
          <w:color w:val="auto"/>
        </w:rPr>
        <w:t>February 2, 2023</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07"/>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14" Type="http://schemas.openxmlformats.org/officeDocument/2006/relationships/hyperlink" Target="http://www.sec.gov/Archives/edgar/data/1711279/000156459020009550/krys-10k_20191231.htm" TargetMode="External"/><Relationship Id="rId15" Type="http://schemas.openxmlformats.org/officeDocument/2006/relationships/hyperlink" Target="http://www.sec.gov/Archives/edgar/data/1711279/000156459020016447/krys-def14a_20200529.htm" TargetMode="External"/><Relationship Id="rId16" Type="http://schemas.openxmlformats.org/officeDocument/2006/relationships/hyperlink" Target="http://www.sec.gov/Archives/edgar/data/1711279/000119312517288012/d450974d8a12b.htm" TargetMode="External"/><Relationship Id="rId18" Type="http://schemas.openxmlformats.org/officeDocument/2006/relationships/hyperlink" Target="http://www.sec.gov/Archives/edgar/data/1711279/000119312517285053/d403532dex41.htm" TargetMode="External"/><Relationship Id="rId19" Type="http://schemas.openxmlformats.org/officeDocument/2006/relationships/hyperlink" Target="http://www.sec.gov/Archives/edgar/data/1711279/000119312517285053/d403532dex107.htm" TargetMode="External"/><Relationship Id="rId20" Type="http://schemas.openxmlformats.org/officeDocument/2006/relationships/hyperlink" Target="https://www.sec.gov/Archives/edgar/data/1711279/000119312517285053/d403532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2023-02-02T16:07:48Z</dcterms:created>
  <dcterms:modified xsi:type="dcterms:W3CDTF">2023-02-02T16:07:48Z</dcterms:modified>
</cp:coreProperties>
</file>