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603389.xml.htm"/>
      <w:bookmarkStart w:id="1" w:name="kswkform4_17896033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Sutherland Everett Rand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KRYSTAL BIOTECH,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2100 WHARTON STREET, SUITE 701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Krystal Biotech, Inc.</w:t>
              </w:r>
            </w:hyperlink>
            <w:r>
              <w:rPr/>
              <w:t xml:space="preserve"> [ </w:t>
            </w:r>
            <w:r>
              <w:rPr>
                <w:rFonts w:ascii="Times;serif" w:hAnsi="Times;serif"/>
                <w:color w:val="0000FF"/>
                <w:sz w:val="24"/>
                <w:shd w:fill="FFFFFF" w:val="clear"/>
              </w:rPr>
              <w:t>KRYS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340.03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09/13/2036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Company's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vest in full on September 14, 2027, subject to continued service on the Company's Board of Directors through such date and to earlier vesting in certain circumstances described in the Company's Non-Employee Director Compensation Policy as in effect on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Krish Krishnan, as attorney-in-fact for Everett Rand Sutherland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2880" TargetMode="External"/><Relationship Id="rId5" Type="http://schemas.openxmlformats.org/officeDocument/2006/relationships/hyperlink" Target="http://www.sec.gov/cgi-bin/browse-edgar?action=getcompany&amp;CIK=000171127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3812</Characters>
  <CharactersWithSpaces>4432</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