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13G/A</w:t>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KRYSTAL BIOTECH,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$0.00001 par value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501147102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60" w:hanging="404"/>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40" w:hanging="484"/>
        <w:spacing w:after="0"/>
        <w:tabs>
          <w:tab w:leader="none" w:pos="11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501147102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160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 w:lineRule="exact"/>
        <w:rPr>
          <w:sz w:val="20"/>
          <w:szCs w:val="20"/>
          <w:color w:val="auto"/>
        </w:rPr>
      </w:pPr>
    </w:p>
    <w:p>
      <w:pPr>
        <w:ind w:left="800" w:hanging="681"/>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Redmile Group, LLC</w:t>
      </w:r>
    </w:p>
    <w:p>
      <w:pPr>
        <w:spacing w:after="0" w:line="27" w:lineRule="exact"/>
        <w:rPr>
          <w:sz w:val="20"/>
          <w:szCs w:val="20"/>
          <w:color w:val="auto"/>
        </w:rPr>
      </w:pPr>
    </w:p>
    <w:p>
      <w:pPr>
        <w:ind w:left="800" w:hanging="681"/>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THE</w:t>
      </w:r>
      <w:r>
        <w:rPr>
          <w:rFonts w:ascii="Arial" w:cs="Arial" w:eastAsia="Arial" w:hAnsi="Arial"/>
          <w:sz w:val="18"/>
          <w:szCs w:val="18"/>
          <w:color w:val="auto"/>
        </w:rPr>
        <w:t xml:space="preserve"> A</w:t>
      </w:r>
      <w:r>
        <w:rPr>
          <w:rFonts w:ascii="Arial" w:cs="Arial" w:eastAsia="Arial" w:hAnsi="Arial"/>
          <w:sz w:val="12"/>
          <w:szCs w:val="12"/>
          <w:color w:val="auto"/>
        </w:rPr>
        <w:t>PPROPRIATE</w:t>
      </w:r>
      <w:r>
        <w:rPr>
          <w:rFonts w:ascii="Arial" w:cs="Arial" w:eastAsia="Arial" w:hAnsi="Arial"/>
          <w:sz w:val="18"/>
          <w:szCs w:val="18"/>
          <w:color w:val="auto"/>
        </w:rPr>
        <w:t xml:space="preserve"> B</w:t>
      </w:r>
      <w:r>
        <w:rPr>
          <w:rFonts w:ascii="Arial" w:cs="Arial" w:eastAsia="Arial" w:hAnsi="Arial"/>
          <w:sz w:val="12"/>
          <w:szCs w:val="12"/>
          <w:color w:val="auto"/>
        </w:rPr>
        <w:t>OX IF A</w:t>
      </w:r>
      <w:r>
        <w:rPr>
          <w:rFonts w:ascii="Arial" w:cs="Arial" w:eastAsia="Arial" w:hAnsi="Arial"/>
          <w:sz w:val="18"/>
          <w:szCs w:val="18"/>
          <w:color w:val="auto"/>
        </w:rPr>
        <w:t xml:space="preserve"> M</w:t>
      </w:r>
      <w:r>
        <w:rPr>
          <w:rFonts w:ascii="Arial" w:cs="Arial" w:eastAsia="Arial" w:hAnsi="Arial"/>
          <w:sz w:val="12"/>
          <w:szCs w:val="12"/>
          <w:color w:val="auto"/>
        </w:rPr>
        <w:t>EMBER OF A</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192"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A</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58"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B</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3" w:lineRule="exact"/>
        <w:rPr>
          <w:sz w:val="20"/>
          <w:szCs w:val="20"/>
          <w:color w:val="auto"/>
        </w:rPr>
      </w:pPr>
    </w:p>
    <w:p>
      <w:pPr>
        <w:ind w:left="800" w:hanging="681"/>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223" w:lineRule="exact"/>
        <w:rPr>
          <w:sz w:val="20"/>
          <w:szCs w:val="20"/>
          <w:color w:val="auto"/>
        </w:rPr>
      </w:pPr>
    </w:p>
    <w:p>
      <w:pPr>
        <w:ind w:left="800" w:hanging="681"/>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5</w:t>
            </w:r>
          </w:p>
        </w:tc>
        <w:tc>
          <w:tcPr>
            <w:tcW w:w="88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427"/>
        </w:trPr>
        <w:tc>
          <w:tcPr>
            <w:tcW w:w="16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8"/>
        </w:trPr>
        <w:tc>
          <w:tcPr>
            <w:tcW w:w="1620" w:type="dxa"/>
            <w:vAlign w:val="bottom"/>
            <w:vMerge w:val="continue"/>
          </w:tcPr>
          <w:p>
            <w:pPr>
              <w:spacing w:after="0"/>
              <w:rPr>
                <w:sz w:val="15"/>
                <w:szCs w:val="15"/>
                <w:color w:val="auto"/>
              </w:rPr>
            </w:pPr>
          </w:p>
        </w:tc>
        <w:tc>
          <w:tcPr>
            <w:tcW w:w="44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6</w:t>
            </w:r>
          </w:p>
        </w:tc>
        <w:tc>
          <w:tcPr>
            <w:tcW w:w="8880" w:type="dxa"/>
            <w:vAlign w:val="bottom"/>
          </w:tcPr>
          <w:p>
            <w:pPr>
              <w:ind w:left="220"/>
              <w:spacing w:after="0" w:line="177"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216"/>
        </w:trPr>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SHARES</w:t>
            </w:r>
          </w:p>
        </w:tc>
        <w:tc>
          <w:tcPr>
            <w:tcW w:w="44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jc w:val="center"/>
              <w:ind w:right="190"/>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20"/>
                <w:szCs w:val="20"/>
                <w:color w:val="auto"/>
              </w:rPr>
            </w:pPr>
          </w:p>
        </w:tc>
        <w:tc>
          <w:tcPr>
            <w:tcW w:w="8880" w:type="dxa"/>
            <w:vAlign w:val="bottom"/>
          </w:tcPr>
          <w:p>
            <w:pPr>
              <w:ind w:left="220"/>
              <w:spacing w:after="0" w:line="235" w:lineRule="exact"/>
              <w:rPr>
                <w:sz w:val="20"/>
                <w:szCs w:val="20"/>
                <w:color w:val="auto"/>
              </w:rPr>
            </w:pPr>
            <w:r>
              <w:rPr>
                <w:rFonts w:ascii="Arial" w:cs="Arial" w:eastAsia="Arial" w:hAnsi="Arial"/>
                <w:sz w:val="17"/>
                <w:szCs w:val="17"/>
                <w:b w:val="1"/>
                <w:bCs w:val="1"/>
                <w:color w:val="auto"/>
              </w:rPr>
              <w:t xml:space="preserve">1,675,036 </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54"/>
        </w:trPr>
        <w:tc>
          <w:tcPr>
            <w:tcW w:w="1620" w:type="dxa"/>
            <w:vAlign w:val="bottom"/>
            <w:vMerge w:val="restart"/>
          </w:tcPr>
          <w:p>
            <w:pPr>
              <w:jc w:val="center"/>
              <w:ind w:right="190"/>
              <w:spacing w:after="0" w:line="198" w:lineRule="exact"/>
              <w:rPr>
                <w:sz w:val="20"/>
                <w:szCs w:val="20"/>
                <w:color w:val="auto"/>
              </w:rPr>
            </w:pPr>
            <w:r>
              <w:rPr>
                <w:rFonts w:ascii="Arial" w:cs="Arial" w:eastAsia="Arial" w:hAnsi="Arial"/>
                <w:sz w:val="18"/>
                <w:szCs w:val="18"/>
                <w:b w:val="1"/>
                <w:bCs w:val="1"/>
                <w:color w:val="auto"/>
              </w:rPr>
              <w:t>OWNED</w:t>
            </w:r>
          </w:p>
        </w:tc>
        <w:tc>
          <w:tcPr>
            <w:tcW w:w="440" w:type="dxa"/>
            <w:vAlign w:val="bottom"/>
            <w:tcBorders>
              <w:bottom w:val="single" w:sz="8" w:color="auto"/>
            </w:tcBorders>
          </w:tcPr>
          <w:p>
            <w:pPr>
              <w:spacing w:after="0"/>
              <w:rPr>
                <w:sz w:val="4"/>
                <w:szCs w:val="4"/>
                <w:color w:val="auto"/>
              </w:rPr>
            </w:pPr>
          </w:p>
        </w:tc>
        <w:tc>
          <w:tcPr>
            <w:tcW w:w="8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620" w:type="dxa"/>
            <w:vAlign w:val="bottom"/>
            <w:vMerge w:val="continue"/>
          </w:tcPr>
          <w:p>
            <w:pPr>
              <w:spacing w:after="0"/>
              <w:rPr>
                <w:sz w:val="10"/>
                <w:szCs w:val="10"/>
                <w:color w:val="auto"/>
              </w:rPr>
            </w:pP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7</w:t>
            </w: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04"/>
        </w:trPr>
        <w:tc>
          <w:tcPr>
            <w:tcW w:w="16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BY EACH</w:t>
            </w:r>
          </w:p>
        </w:tc>
        <w:tc>
          <w:tcPr>
            <w:tcW w:w="440" w:type="dxa"/>
            <w:vAlign w:val="bottom"/>
            <w:vMerge w:val="continue"/>
          </w:tcPr>
          <w:p>
            <w:pPr>
              <w:spacing w:after="0"/>
              <w:rPr>
                <w:sz w:val="9"/>
                <w:szCs w:val="9"/>
                <w:color w:val="auto"/>
              </w:rPr>
            </w:pPr>
          </w:p>
        </w:tc>
        <w:tc>
          <w:tcPr>
            <w:tcW w:w="8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88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6"/>
        </w:trPr>
        <w:tc>
          <w:tcPr>
            <w:tcW w:w="162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rPr>
              <w:t>PERSON WITH</w:t>
            </w:r>
          </w:p>
        </w:tc>
        <w:tc>
          <w:tcPr>
            <w:tcW w:w="440" w:type="dxa"/>
            <w:vAlign w:val="bottom"/>
            <w:tcBorders>
              <w:bottom w:val="single" w:sz="8" w:color="auto"/>
            </w:tcBorders>
          </w:tcPr>
          <w:p>
            <w:pPr>
              <w:spacing w:after="0"/>
              <w:rPr>
                <w:sz w:val="7"/>
                <w:szCs w:val="7"/>
                <w:color w:val="auto"/>
              </w:rPr>
            </w:pPr>
          </w:p>
        </w:tc>
        <w:tc>
          <w:tcPr>
            <w:tcW w:w="88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620" w:type="dxa"/>
            <w:vAlign w:val="bottom"/>
            <w:vMerge w:val="continue"/>
          </w:tcPr>
          <w:p>
            <w:pPr>
              <w:spacing w:after="0"/>
              <w:rPr>
                <w:sz w:val="11"/>
                <w:szCs w:val="11"/>
                <w:color w:val="auto"/>
              </w:rPr>
            </w:pP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99"/>
        </w:trPr>
        <w:tc>
          <w:tcPr>
            <w:tcW w:w="16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8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 xml:space="preserve">1,675,036 </w:t>
      </w:r>
      <w:r>
        <w:rPr>
          <w:rFonts w:ascii="Arial" w:cs="Arial" w:eastAsia="Arial" w:hAnsi="Arial"/>
          <w:sz w:val="29"/>
          <w:szCs w:val="29"/>
          <w:b w:val="1"/>
          <w:bCs w:val="1"/>
          <w:color w:val="auto"/>
          <w:vertAlign w:val="superscript"/>
        </w:rPr>
        <w:t>(1)</w:t>
      </w:r>
    </w:p>
    <w:p>
      <w:pPr>
        <w:ind w:left="800" w:hanging="681"/>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1,675,036 </w:t>
      </w:r>
      <w:r>
        <w:rPr>
          <w:rFonts w:ascii="Arial" w:cs="Arial" w:eastAsia="Arial" w:hAnsi="Arial"/>
          <w:sz w:val="29"/>
          <w:szCs w:val="29"/>
          <w:b w:val="1"/>
          <w:bCs w:val="1"/>
          <w:color w:val="auto"/>
          <w:vertAlign w:val="superscript"/>
        </w:rPr>
        <w:t>(1)</w:t>
      </w:r>
    </w:p>
    <w:p>
      <w:pPr>
        <w:ind w:left="800" w:hanging="681"/>
        <w:spacing w:after="0"/>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IF THE</w:t>
      </w:r>
      <w:r>
        <w:rPr>
          <w:rFonts w:ascii="Arial" w:cs="Arial" w:eastAsia="Arial" w:hAnsi="Arial"/>
          <w:sz w:val="18"/>
          <w:szCs w:val="18"/>
          <w:color w:val="auto"/>
        </w:rPr>
        <w:t xml:space="preserve"> 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 E</w:t>
      </w:r>
      <w:r>
        <w:rPr>
          <w:rFonts w:ascii="Arial" w:cs="Arial" w:eastAsia="Arial" w:hAnsi="Arial"/>
          <w:sz w:val="12"/>
          <w:szCs w:val="12"/>
          <w:color w:val="auto"/>
        </w:rPr>
        <w:t>XCLUDES</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S</w:t>
      </w:r>
      <w:r>
        <w:rPr>
          <w:rFonts w:ascii="Arial" w:cs="Arial" w:eastAsia="Arial" w:hAnsi="Arial"/>
          <w:sz w:val="12"/>
          <w:szCs w:val="12"/>
          <w:color w:val="auto"/>
        </w:rPr>
        <w:t>HARES</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00" w:lineRule="exact"/>
        <w:rPr>
          <w:rFonts w:ascii="Arial" w:cs="Arial" w:eastAsia="Arial" w:hAnsi="Arial"/>
          <w:sz w:val="18"/>
          <w:szCs w:val="18"/>
          <w:b w:val="1"/>
          <w:bCs w:val="1"/>
          <w:color w:val="auto"/>
        </w:rPr>
      </w:pPr>
    </w:p>
    <w:p>
      <w:pPr>
        <w:spacing w:after="0" w:line="238" w:lineRule="exact"/>
        <w:rPr>
          <w:rFonts w:ascii="Arial" w:cs="Arial" w:eastAsia="Arial" w:hAnsi="Arial"/>
          <w:sz w:val="18"/>
          <w:szCs w:val="18"/>
          <w:b w:val="1"/>
          <w:bCs w:val="1"/>
          <w:color w:val="auto"/>
        </w:rPr>
      </w:pPr>
    </w:p>
    <w:p>
      <w:pPr>
        <w:ind w:left="840" w:hanging="721"/>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8.5%</w:t>
      </w:r>
      <w:r>
        <w:rPr>
          <w:rFonts w:ascii="Arial" w:cs="Arial" w:eastAsia="Arial" w:hAnsi="Arial"/>
          <w:sz w:val="29"/>
          <w:szCs w:val="29"/>
          <w:b w:val="1"/>
          <w:bCs w:val="1"/>
          <w:color w:val="auto"/>
          <w:vertAlign w:val="superscript"/>
        </w:rPr>
        <w:t>(2)</w:t>
      </w:r>
    </w:p>
    <w:p>
      <w:pPr>
        <w:ind w:left="800" w:hanging="681"/>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8" w:lineRule="exact"/>
        <w:rPr>
          <w:sz w:val="20"/>
          <w:szCs w:val="20"/>
          <w:color w:val="auto"/>
        </w:rPr>
      </w:pPr>
    </w:p>
    <w:p>
      <w:pPr>
        <w:ind w:firstLine="8"/>
        <w:spacing w:after="0" w:line="274" w:lineRule="auto"/>
        <w:tabs>
          <w:tab w:leader="none" w:pos="212"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Redmile Group, LLC’s beneficial ownership of the Issuer’s common stock (“Common Stock”) is comprised of 1,675,036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151" w:lineRule="exact"/>
        <w:rPr>
          <w:rFonts w:ascii="Arial" w:cs="Arial" w:eastAsia="Arial" w:hAnsi="Arial"/>
          <w:sz w:val="25"/>
          <w:szCs w:val="25"/>
          <w:color w:val="auto"/>
          <w:vertAlign w:val="superscript"/>
        </w:rPr>
      </w:pPr>
    </w:p>
    <w:p>
      <w:pPr>
        <w:ind w:left="220" w:hanging="212"/>
        <w:spacing w:after="0"/>
        <w:tabs>
          <w:tab w:leader="none" w:pos="22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Percentage based on 19,707,620 shares of Common Stock outstanding as of October 30, 2020, as reported by the Issuer in its Quarterly Report on Form</w:t>
      </w:r>
    </w:p>
    <w:p>
      <w:pPr>
        <w:spacing w:after="0" w:line="1" w:lineRule="exact"/>
        <w:rPr>
          <w:rFonts w:ascii="Arial" w:cs="Arial" w:eastAsia="Arial" w:hAnsi="Arial"/>
          <w:sz w:val="26"/>
          <w:szCs w:val="26"/>
          <w:color w:val="auto"/>
          <w:vertAlign w:val="superscript"/>
        </w:rPr>
      </w:pPr>
    </w:p>
    <w:p>
      <w:pPr>
        <w:spacing w:after="0"/>
        <w:rPr>
          <w:rFonts w:ascii="Arial" w:cs="Arial" w:eastAsia="Arial" w:hAnsi="Arial"/>
          <w:sz w:val="26"/>
          <w:szCs w:val="26"/>
          <w:color w:val="auto"/>
          <w:vertAlign w:val="superscript"/>
        </w:rPr>
      </w:pPr>
      <w:r>
        <w:rPr>
          <w:rFonts w:ascii="Arial" w:cs="Arial" w:eastAsia="Arial" w:hAnsi="Arial"/>
          <w:sz w:val="16"/>
          <w:szCs w:val="16"/>
          <w:color w:val="auto"/>
        </w:rPr>
        <w:t>10-Q for the quarterly period ended September 30, 2020 filed with the Securities and Exchange Commission on November 9, 2020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501147102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340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340350"/>
                    </a:xfrm>
                    <a:prstGeom prst="rect">
                      <a:avLst/>
                    </a:prstGeom>
                    <a:noFill/>
                  </pic:spPr>
                </pic:pic>
              </a:graphicData>
            </a:graphic>
          </wp:anchor>
        </w:drawing>
      </w:r>
    </w:p>
    <w:p>
      <w:pPr>
        <w:spacing w:after="0" w:line="20" w:lineRule="exact"/>
        <w:rPr>
          <w:sz w:val="20"/>
          <w:szCs w:val="20"/>
          <w:color w:val="auto"/>
        </w:rPr>
      </w:pPr>
    </w:p>
    <w:p>
      <w:pPr>
        <w:ind w:left="800" w:hanging="681"/>
        <w:spacing w:after="0"/>
        <w:tabs>
          <w:tab w:leader="none" w:pos="8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Jeremy C. Green</w:t>
      </w:r>
    </w:p>
    <w:p>
      <w:pPr>
        <w:spacing w:after="0" w:line="27" w:lineRule="exact"/>
        <w:rPr>
          <w:sz w:val="20"/>
          <w:szCs w:val="20"/>
          <w:color w:val="auto"/>
        </w:rPr>
      </w:pPr>
    </w:p>
    <w:p>
      <w:pPr>
        <w:ind w:left="800" w:hanging="681"/>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THE</w:t>
      </w:r>
      <w:r>
        <w:rPr>
          <w:rFonts w:ascii="Arial" w:cs="Arial" w:eastAsia="Arial" w:hAnsi="Arial"/>
          <w:sz w:val="18"/>
          <w:szCs w:val="18"/>
          <w:color w:val="auto"/>
        </w:rPr>
        <w:t xml:space="preserve"> A</w:t>
      </w:r>
      <w:r>
        <w:rPr>
          <w:rFonts w:ascii="Arial" w:cs="Arial" w:eastAsia="Arial" w:hAnsi="Arial"/>
          <w:sz w:val="12"/>
          <w:szCs w:val="12"/>
          <w:color w:val="auto"/>
        </w:rPr>
        <w:t>PPROPRIATE</w:t>
      </w:r>
      <w:r>
        <w:rPr>
          <w:rFonts w:ascii="Arial" w:cs="Arial" w:eastAsia="Arial" w:hAnsi="Arial"/>
          <w:sz w:val="18"/>
          <w:szCs w:val="18"/>
          <w:color w:val="auto"/>
        </w:rPr>
        <w:t xml:space="preserve"> B</w:t>
      </w:r>
      <w:r>
        <w:rPr>
          <w:rFonts w:ascii="Arial" w:cs="Arial" w:eastAsia="Arial" w:hAnsi="Arial"/>
          <w:sz w:val="12"/>
          <w:szCs w:val="12"/>
          <w:color w:val="auto"/>
        </w:rPr>
        <w:t>OX IF A</w:t>
      </w:r>
      <w:r>
        <w:rPr>
          <w:rFonts w:ascii="Arial" w:cs="Arial" w:eastAsia="Arial" w:hAnsi="Arial"/>
          <w:sz w:val="18"/>
          <w:szCs w:val="18"/>
          <w:color w:val="auto"/>
        </w:rPr>
        <w:t xml:space="preserve"> M</w:t>
      </w:r>
      <w:r>
        <w:rPr>
          <w:rFonts w:ascii="Arial" w:cs="Arial" w:eastAsia="Arial" w:hAnsi="Arial"/>
          <w:sz w:val="12"/>
          <w:szCs w:val="12"/>
          <w:color w:val="auto"/>
        </w:rPr>
        <w:t>EMBER OF A</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192"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A</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10"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B</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43" w:lineRule="exact"/>
        <w:rPr>
          <w:sz w:val="20"/>
          <w:szCs w:val="20"/>
          <w:color w:val="auto"/>
        </w:rPr>
      </w:pPr>
    </w:p>
    <w:p>
      <w:pPr>
        <w:ind w:left="800" w:hanging="681"/>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239" w:lineRule="exact"/>
        <w:rPr>
          <w:sz w:val="20"/>
          <w:szCs w:val="20"/>
          <w:color w:val="auto"/>
        </w:rPr>
      </w:pPr>
    </w:p>
    <w:p>
      <w:pPr>
        <w:ind w:left="800" w:hanging="637"/>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5</w:t>
            </w:r>
          </w:p>
        </w:tc>
        <w:tc>
          <w:tcPr>
            <w:tcW w:w="88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434"/>
        </w:trPr>
        <w:tc>
          <w:tcPr>
            <w:tcW w:w="16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4"/>
        </w:trPr>
        <w:tc>
          <w:tcPr>
            <w:tcW w:w="16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88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52"/>
        </w:trPr>
        <w:tc>
          <w:tcPr>
            <w:tcW w:w="16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SHARES</w:t>
            </w:r>
          </w:p>
        </w:tc>
        <w:tc>
          <w:tcPr>
            <w:tcW w:w="440" w:type="dxa"/>
            <w:vAlign w:val="bottom"/>
          </w:tcPr>
          <w:p>
            <w:pPr>
              <w:spacing w:after="0"/>
              <w:rPr>
                <w:sz w:val="23"/>
                <w:szCs w:val="23"/>
                <w:color w:val="auto"/>
              </w:rPr>
            </w:pPr>
          </w:p>
        </w:tc>
        <w:tc>
          <w:tcPr>
            <w:tcW w:w="8880" w:type="dxa"/>
            <w:vAlign w:val="bottom"/>
          </w:tcPr>
          <w:p>
            <w:pPr>
              <w:ind w:left="220"/>
              <w:spacing w:after="0" w:line="275" w:lineRule="exact"/>
              <w:rPr>
                <w:sz w:val="20"/>
                <w:szCs w:val="20"/>
                <w:color w:val="auto"/>
              </w:rPr>
            </w:pPr>
            <w:r>
              <w:rPr>
                <w:rFonts w:ascii="Arial" w:cs="Arial" w:eastAsia="Arial" w:hAnsi="Arial"/>
                <w:sz w:val="17"/>
                <w:szCs w:val="17"/>
                <w:b w:val="1"/>
                <w:bCs w:val="1"/>
                <w:color w:val="auto"/>
              </w:rPr>
              <w:t xml:space="preserve">1,675,036 </w:t>
            </w:r>
            <w:r>
              <w:rPr>
                <w:rFonts w:ascii="Arial" w:cs="Arial" w:eastAsia="Arial" w:hAnsi="Arial"/>
                <w:sz w:val="26"/>
                <w:szCs w:val="26"/>
                <w:b w:val="1"/>
                <w:bCs w:val="1"/>
                <w:color w:val="auto"/>
                <w:vertAlign w:val="superscript"/>
              </w:rPr>
              <w:t>(</w:t>
            </w:r>
            <w:r>
              <w:rPr>
                <w:rFonts w:ascii="Arial" w:cs="Arial" w:eastAsia="Arial" w:hAnsi="Arial"/>
                <w:sz w:val="31"/>
                <w:szCs w:val="31"/>
                <w:b w:val="1"/>
                <w:bCs w:val="1"/>
                <w:color w:val="auto"/>
                <w:vertAlign w:val="superscript"/>
              </w:rPr>
              <w:t>3</w:t>
            </w:r>
            <w:r>
              <w:rPr>
                <w:rFonts w:ascii="Arial" w:cs="Arial" w:eastAsia="Arial" w:hAnsi="Arial"/>
                <w:sz w:val="26"/>
                <w:szCs w:val="26"/>
                <w:b w:val="1"/>
                <w:bCs w:val="1"/>
                <w:color w:val="auto"/>
                <w:vertAlign w:val="superscript"/>
              </w:rPr>
              <w:t>)</w:t>
            </w:r>
          </w:p>
        </w:tc>
        <w:tc>
          <w:tcPr>
            <w:tcW w:w="0" w:type="dxa"/>
            <w:vAlign w:val="bottom"/>
          </w:tcPr>
          <w:p>
            <w:pPr>
              <w:spacing w:after="0"/>
              <w:rPr>
                <w:sz w:val="1"/>
                <w:szCs w:val="1"/>
                <w:color w:val="auto"/>
              </w:rPr>
            </w:pPr>
          </w:p>
        </w:tc>
      </w:tr>
      <w:tr>
        <w:trPr>
          <w:trHeight w:val="68"/>
        </w:trPr>
        <w:tc>
          <w:tcPr>
            <w:tcW w:w="1620" w:type="dxa"/>
            <w:vAlign w:val="bottom"/>
            <w:vMerge w:val="restart"/>
          </w:tcPr>
          <w:p>
            <w:pPr>
              <w:jc w:val="center"/>
              <w:ind w:right="190"/>
              <w:spacing w:after="0" w:line="157" w:lineRule="exact"/>
              <w:rPr>
                <w:sz w:val="20"/>
                <w:szCs w:val="20"/>
                <w:color w:val="auto"/>
              </w:rPr>
            </w:pPr>
            <w:r>
              <w:rPr>
                <w:rFonts w:ascii="Arial" w:cs="Arial" w:eastAsia="Arial" w:hAnsi="Arial"/>
                <w:sz w:val="18"/>
                <w:szCs w:val="18"/>
                <w:b w:val="1"/>
                <w:bCs w:val="1"/>
                <w:color w:val="auto"/>
              </w:rPr>
              <w:t>BENEFICIALLY</w:t>
            </w:r>
          </w:p>
        </w:tc>
        <w:tc>
          <w:tcPr>
            <w:tcW w:w="44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620" w:type="dxa"/>
            <w:vAlign w:val="bottom"/>
            <w:vMerge w:val="continue"/>
          </w:tcPr>
          <w:p>
            <w:pPr>
              <w:spacing w:after="0"/>
              <w:rPr>
                <w:sz w:val="6"/>
                <w:szCs w:val="6"/>
                <w:color w:val="auto"/>
              </w:rPr>
            </w:pP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7</w:t>
            </w: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58"/>
        </w:trPr>
        <w:tc>
          <w:tcPr>
            <w:tcW w:w="162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rPr>
              <w:t>OWNED BY</w:t>
            </w:r>
          </w:p>
        </w:tc>
        <w:tc>
          <w:tcPr>
            <w:tcW w:w="44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6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rPr>
              <w:t>EACH</w:t>
            </w:r>
          </w:p>
        </w:tc>
        <w:tc>
          <w:tcPr>
            <w:tcW w:w="440" w:type="dxa"/>
            <w:vAlign w:val="bottom"/>
          </w:tcPr>
          <w:p>
            <w:pPr>
              <w:spacing w:after="0"/>
              <w:rPr>
                <w:sz w:val="18"/>
                <w:szCs w:val="18"/>
                <w:color w:val="auto"/>
              </w:rPr>
            </w:pPr>
          </w:p>
        </w:tc>
        <w:tc>
          <w:tcPr>
            <w:tcW w:w="88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7"/>
        </w:trPr>
        <w:tc>
          <w:tcPr>
            <w:tcW w:w="162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rPr>
              <w:t>REPORTING</w:t>
            </w:r>
          </w:p>
        </w:tc>
        <w:tc>
          <w:tcPr>
            <w:tcW w:w="440" w:type="dxa"/>
            <w:vAlign w:val="bottom"/>
            <w:tcBorders>
              <w:bottom w:val="single" w:sz="8" w:color="auto"/>
            </w:tcBorders>
          </w:tcPr>
          <w:p>
            <w:pPr>
              <w:spacing w:after="0"/>
              <w:rPr>
                <w:sz w:val="12"/>
                <w:szCs w:val="12"/>
                <w:color w:val="auto"/>
              </w:rPr>
            </w:pPr>
          </w:p>
        </w:tc>
        <w:tc>
          <w:tcPr>
            <w:tcW w:w="8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620" w:type="dxa"/>
            <w:vAlign w:val="bottom"/>
            <w:vMerge w:val="continue"/>
          </w:tcPr>
          <w:p>
            <w:pPr>
              <w:spacing w:after="0"/>
              <w:rPr>
                <w:sz w:val="4"/>
                <w:szCs w:val="4"/>
                <w:color w:val="auto"/>
              </w:rPr>
            </w:pP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80"/>
        </w:trPr>
        <w:tc>
          <w:tcPr>
            <w:tcW w:w="162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rPr>
              <w:t>PERSON WITH</w:t>
            </w:r>
          </w:p>
        </w:tc>
        <w:tc>
          <w:tcPr>
            <w:tcW w:w="440" w:type="dxa"/>
            <w:vAlign w:val="bottom"/>
            <w:vMerge w:val="continue"/>
          </w:tcPr>
          <w:p>
            <w:pPr>
              <w:spacing w:after="0"/>
              <w:rPr>
                <w:sz w:val="15"/>
                <w:szCs w:val="15"/>
                <w:color w:val="auto"/>
              </w:rPr>
            </w:pPr>
          </w:p>
        </w:tc>
        <w:tc>
          <w:tcPr>
            <w:tcW w:w="8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6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 xml:space="preserve">1,675,036 </w:t>
      </w:r>
      <w:r>
        <w:rPr>
          <w:rFonts w:ascii="Arial" w:cs="Arial" w:eastAsia="Arial" w:hAnsi="Arial"/>
          <w:sz w:val="29"/>
          <w:szCs w:val="29"/>
          <w:b w:val="1"/>
          <w:bCs w:val="1"/>
          <w:color w:val="auto"/>
          <w:vertAlign w:val="superscript"/>
        </w:rPr>
        <w:t>(3)</w:t>
      </w:r>
    </w:p>
    <w:p>
      <w:pPr>
        <w:ind w:left="800" w:hanging="681"/>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1,675,036 </w:t>
      </w:r>
      <w:r>
        <w:rPr>
          <w:rFonts w:ascii="Arial" w:cs="Arial" w:eastAsia="Arial" w:hAnsi="Arial"/>
          <w:sz w:val="29"/>
          <w:szCs w:val="29"/>
          <w:b w:val="1"/>
          <w:bCs w:val="1"/>
          <w:color w:val="auto"/>
          <w:vertAlign w:val="superscript"/>
        </w:rPr>
        <w:t>(3)</w:t>
      </w:r>
    </w:p>
    <w:p>
      <w:pPr>
        <w:ind w:left="800" w:hanging="681"/>
        <w:spacing w:after="0"/>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IF THE</w:t>
      </w:r>
      <w:r>
        <w:rPr>
          <w:rFonts w:ascii="Arial" w:cs="Arial" w:eastAsia="Arial" w:hAnsi="Arial"/>
          <w:sz w:val="18"/>
          <w:szCs w:val="18"/>
          <w:color w:val="auto"/>
        </w:rPr>
        <w:t xml:space="preserve"> 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 E</w:t>
      </w:r>
      <w:r>
        <w:rPr>
          <w:rFonts w:ascii="Arial" w:cs="Arial" w:eastAsia="Arial" w:hAnsi="Arial"/>
          <w:sz w:val="12"/>
          <w:szCs w:val="12"/>
          <w:color w:val="auto"/>
        </w:rPr>
        <w:t>XCLUDES</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S</w:t>
      </w:r>
      <w:r>
        <w:rPr>
          <w:rFonts w:ascii="Arial" w:cs="Arial" w:eastAsia="Arial" w:hAnsi="Arial"/>
          <w:sz w:val="12"/>
          <w:szCs w:val="12"/>
          <w:color w:val="auto"/>
        </w:rPr>
        <w:t>HARES</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00" w:lineRule="exact"/>
        <w:rPr>
          <w:rFonts w:ascii="Arial" w:cs="Arial" w:eastAsia="Arial" w:hAnsi="Arial"/>
          <w:sz w:val="18"/>
          <w:szCs w:val="18"/>
          <w:b w:val="1"/>
          <w:bCs w:val="1"/>
          <w:color w:val="auto"/>
        </w:rPr>
      </w:pPr>
    </w:p>
    <w:p>
      <w:pPr>
        <w:spacing w:after="0" w:line="238" w:lineRule="exact"/>
        <w:rPr>
          <w:rFonts w:ascii="Arial" w:cs="Arial" w:eastAsia="Arial" w:hAnsi="Arial"/>
          <w:sz w:val="18"/>
          <w:szCs w:val="18"/>
          <w:b w:val="1"/>
          <w:bCs w:val="1"/>
          <w:color w:val="auto"/>
        </w:rPr>
      </w:pPr>
    </w:p>
    <w:p>
      <w:pPr>
        <w:ind w:left="800" w:hanging="681"/>
        <w:spacing w:after="0"/>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8.5%</w:t>
      </w:r>
      <w:r>
        <w:rPr>
          <w:rFonts w:ascii="Arial" w:cs="Arial" w:eastAsia="Arial" w:hAnsi="Arial"/>
          <w:sz w:val="29"/>
          <w:szCs w:val="29"/>
          <w:b w:val="1"/>
          <w:bCs w:val="1"/>
          <w:color w:val="auto"/>
          <w:vertAlign w:val="superscript"/>
        </w:rPr>
        <w:t>(4)</w:t>
      </w:r>
    </w:p>
    <w:p>
      <w:pPr>
        <w:ind w:left="800" w:hanging="681"/>
        <w:spacing w:after="0"/>
        <w:tabs>
          <w:tab w:leader="none" w:pos="8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8" w:lineRule="exact"/>
        <w:rPr>
          <w:sz w:val="20"/>
          <w:szCs w:val="20"/>
          <w:color w:val="auto"/>
        </w:rPr>
      </w:pPr>
    </w:p>
    <w:p>
      <w:pPr>
        <w:ind w:right="120" w:firstLine="8"/>
        <w:spacing w:after="0" w:line="274" w:lineRule="auto"/>
        <w:tabs>
          <w:tab w:leader="none" w:pos="212" w:val="left"/>
        </w:tabs>
        <w:numPr>
          <w:ilvl w:val="0"/>
          <w:numId w:val="18"/>
        </w:numPr>
        <w:rPr>
          <w:rFonts w:ascii="Arial" w:cs="Arial" w:eastAsia="Arial" w:hAnsi="Arial"/>
          <w:sz w:val="25"/>
          <w:szCs w:val="25"/>
          <w:color w:val="auto"/>
          <w:vertAlign w:val="superscript"/>
        </w:rPr>
      </w:pPr>
      <w:r>
        <w:rPr>
          <w:rFonts w:ascii="Arial" w:cs="Arial" w:eastAsia="Arial" w:hAnsi="Arial"/>
          <w:sz w:val="15"/>
          <w:szCs w:val="15"/>
          <w:color w:val="auto"/>
        </w:rPr>
        <w:t>Jeremy C. Green’s beneficial ownership of Common Stock is comprised of 1,675,036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151" w:lineRule="exact"/>
        <w:rPr>
          <w:rFonts w:ascii="Arial" w:cs="Arial" w:eastAsia="Arial" w:hAnsi="Arial"/>
          <w:sz w:val="25"/>
          <w:szCs w:val="25"/>
          <w:color w:val="auto"/>
          <w:vertAlign w:val="superscript"/>
        </w:rPr>
      </w:pPr>
    </w:p>
    <w:p>
      <w:pPr>
        <w:ind w:left="220" w:hanging="212"/>
        <w:spacing w:after="0"/>
        <w:tabs>
          <w:tab w:leader="none" w:pos="220"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Percentage based on 19,707,620 shares of Common Stock outstanding as of October 30, 2020, as reported by the Issuer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980" w:right="7659" w:hanging="486"/>
        <w:spacing w:after="0" w:line="563" w:lineRule="auto"/>
        <w:tabs>
          <w:tab w:leader="none" w:pos="10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Name of Issuer Krystal Biotech, Inc.</w:t>
      </w:r>
    </w:p>
    <w:p>
      <w:pPr>
        <w:ind w:left="1000" w:hanging="50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2100 Wharton Street, Suite 701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Pittsburgh, Pennsylvania 15203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000" w:hanging="50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Persons Filing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Redmile Group,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Jeremy C. Green</w:t>
      </w:r>
    </w:p>
    <w:p>
      <w:pPr>
        <w:spacing w:after="0" w:line="211" w:lineRule="exact"/>
        <w:rPr>
          <w:sz w:val="20"/>
          <w:szCs w:val="20"/>
          <w:color w:val="auto"/>
        </w:rPr>
      </w:pPr>
    </w:p>
    <w:p>
      <w:pPr>
        <w:ind w:left="1000" w:hanging="506"/>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Redmile Group,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Letterman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Building D, Suite D3-300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Presidio of San Francisco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Francisco, California 94129</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Jeremy C. Green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Letterman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Building D, Suite D3-300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Presidio of San Francisco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Francisco, California 94129</w:t>
      </w:r>
    </w:p>
    <w:p>
      <w:pPr>
        <w:spacing w:after="0" w:line="21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Redmile Group, LLC: Delaware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Jeremy C. Green: United Kingdom</w:t>
      </w:r>
    </w:p>
    <w:p>
      <w:pPr>
        <w:spacing w:after="0" w:line="211" w:lineRule="exact"/>
        <w:rPr>
          <w:sz w:val="20"/>
          <w:szCs w:val="20"/>
          <w:color w:val="auto"/>
        </w:rPr>
      </w:pPr>
    </w:p>
    <w:p>
      <w:pPr>
        <w:ind w:left="980" w:right="6559" w:hanging="486"/>
        <w:spacing w:after="0" w:line="563" w:lineRule="auto"/>
        <w:tabs>
          <w:tab w:leader="none" w:pos="97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Title of Class of Securities Common Stock, $0.00001 par value</w:t>
      </w:r>
    </w:p>
    <w:p>
      <w:pPr>
        <w:ind w:left="1000" w:hanging="50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501147102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If this statement is filed pursuant to §§ 240.13d-1(b) or 240.13d-2(b) or (c), check whether the person filing is a:</w:t>
      </w:r>
    </w:p>
    <w:p>
      <w:pPr>
        <w:spacing w:after="0" w:line="196" w:lineRule="exact"/>
        <w:rPr>
          <w:sz w:val="20"/>
          <w:szCs w:val="20"/>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52"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2080" w:right="620" w:hanging="1100"/>
        <w:spacing w:after="0" w:line="223" w:lineRule="exact"/>
        <w:tabs>
          <w:tab w:leader="none" w:pos="1432"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29"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2080" w:hanging="1100"/>
        <w:spacing w:after="0" w:line="223" w:lineRule="exact"/>
        <w:tabs>
          <w:tab w:leader="none" w:pos="1432"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 240.13d-1(b)(1)(ii)(K). If filing as a non-U.S. institution in accordance with § 240.13d-1(b)(1)(ii) (J), please specify the type of institution: __________</w:t>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440" w:hanging="460"/>
        <w:spacing w:after="0"/>
        <w:tabs>
          <w:tab w:leader="none" w:pos="1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60" w:hanging="480"/>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480" w:right="7420"/>
        <w:spacing w:after="0" w:line="308" w:lineRule="auto"/>
        <w:rPr>
          <w:rFonts w:ascii="Arial" w:cs="Arial" w:eastAsia="Arial" w:hAnsi="Arial"/>
          <w:sz w:val="18"/>
          <w:szCs w:val="18"/>
          <w:color w:val="auto"/>
        </w:rPr>
      </w:pPr>
      <w:r>
        <w:rPr>
          <w:rFonts w:ascii="Arial" w:cs="Arial" w:eastAsia="Arial" w:hAnsi="Arial"/>
          <w:sz w:val="17"/>
          <w:szCs w:val="17"/>
          <w:color w:val="auto"/>
        </w:rPr>
        <w:t>Redmile Group, LLC – 8.5%** Jeremy C. Green – 8.5%**</w:t>
      </w:r>
    </w:p>
    <w:p>
      <w:pPr>
        <w:spacing w:after="0" w:line="146" w:lineRule="exact"/>
        <w:rPr>
          <w:rFonts w:ascii="Arial" w:cs="Arial" w:eastAsia="Arial" w:hAnsi="Arial"/>
          <w:sz w:val="18"/>
          <w:szCs w:val="18"/>
          <w:color w:val="auto"/>
        </w:rPr>
      </w:pPr>
    </w:p>
    <w:p>
      <w:pPr>
        <w:ind w:left="1500" w:hanging="520"/>
        <w:spacing w:after="0"/>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Number of shares as to which Redmile Group, LLC has:</w:t>
      </w:r>
    </w:p>
    <w:p>
      <w:pPr>
        <w:spacing w:after="0" w:line="225" w:lineRule="exact"/>
        <w:rPr>
          <w:sz w:val="20"/>
          <w:szCs w:val="20"/>
          <w:color w:val="auto"/>
        </w:rPr>
      </w:pPr>
    </w:p>
    <w:p>
      <w:pPr>
        <w:ind w:left="1960" w:right="6340" w:hanging="494"/>
        <w:spacing w:after="0" w:line="500" w:lineRule="auto"/>
        <w:tabs>
          <w:tab w:leader="none" w:pos="19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1960" w:right="6160" w:hanging="494"/>
        <w:spacing w:after="0" w:line="500" w:lineRule="auto"/>
        <w:tabs>
          <w:tab w:leader="none" w:pos="19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Shared power to vote or to direct the vote: 1,675,036*</w:t>
      </w:r>
    </w:p>
    <w:p>
      <w:pPr>
        <w:spacing w:after="0" w:line="1" w:lineRule="exact"/>
        <w:rPr>
          <w:rFonts w:ascii="Arial" w:cs="Arial" w:eastAsia="Arial" w:hAnsi="Arial"/>
          <w:sz w:val="18"/>
          <w:szCs w:val="18"/>
          <w:color w:val="auto"/>
        </w:rPr>
      </w:pPr>
    </w:p>
    <w:p>
      <w:pPr>
        <w:ind w:left="1960" w:right="5440" w:hanging="494"/>
        <w:spacing w:after="0" w:line="500" w:lineRule="auto"/>
        <w:tabs>
          <w:tab w:leader="none" w:pos="19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1960" w:right="5260" w:hanging="494"/>
        <w:spacing w:after="0" w:line="527" w:lineRule="auto"/>
        <w:tabs>
          <w:tab w:leader="none" w:pos="19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1,675,036*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ind w:left="980"/>
        <w:spacing w:after="0"/>
        <w:rPr>
          <w:sz w:val="20"/>
          <w:szCs w:val="20"/>
          <w:color w:val="auto"/>
        </w:rPr>
      </w:pPr>
      <w:r>
        <w:rPr>
          <w:rFonts w:ascii="Arial" w:cs="Arial" w:eastAsia="Arial" w:hAnsi="Arial"/>
          <w:sz w:val="18"/>
          <w:szCs w:val="18"/>
          <w:color w:val="auto"/>
        </w:rPr>
        <w:t>Number of shares as to which Jeremy C. Green has:</w:t>
      </w:r>
    </w:p>
    <w:p>
      <w:pPr>
        <w:spacing w:after="0" w:line="225" w:lineRule="exact"/>
        <w:rPr>
          <w:sz w:val="20"/>
          <w:szCs w:val="20"/>
          <w:color w:val="auto"/>
        </w:rPr>
      </w:pPr>
    </w:p>
    <w:p>
      <w:pPr>
        <w:ind w:left="1960" w:right="6360" w:hanging="494"/>
        <w:spacing w:after="0" w:line="500" w:lineRule="auto"/>
        <w:tabs>
          <w:tab w:leader="none" w:pos="19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1960" w:right="6180" w:hanging="494"/>
        <w:spacing w:after="0" w:line="500" w:lineRule="auto"/>
        <w:tabs>
          <w:tab w:leader="none" w:pos="19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Shared power to vote or to direct the vote: 1,675,036*</w:t>
      </w:r>
    </w:p>
    <w:p>
      <w:pPr>
        <w:spacing w:after="0" w:line="1" w:lineRule="exact"/>
        <w:rPr>
          <w:rFonts w:ascii="Arial" w:cs="Arial" w:eastAsia="Arial" w:hAnsi="Arial"/>
          <w:sz w:val="18"/>
          <w:szCs w:val="18"/>
          <w:color w:val="auto"/>
        </w:rPr>
      </w:pPr>
    </w:p>
    <w:p>
      <w:pPr>
        <w:ind w:left="1960" w:right="5460" w:hanging="494"/>
        <w:spacing w:after="0" w:line="500" w:lineRule="auto"/>
        <w:tabs>
          <w:tab w:leader="none" w:pos="19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1960" w:right="5280" w:hanging="494"/>
        <w:spacing w:after="0" w:line="500" w:lineRule="auto"/>
        <w:tabs>
          <w:tab w:leader="none" w:pos="19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1,675,036*</w:t>
      </w:r>
    </w:p>
    <w:p>
      <w:pPr>
        <w:spacing w:after="0" w:line="1" w:lineRule="exact"/>
        <w:rPr>
          <w:rFonts w:ascii="Arial" w:cs="Arial" w:eastAsia="Arial" w:hAnsi="Arial"/>
          <w:sz w:val="18"/>
          <w:szCs w:val="18"/>
          <w:color w:val="auto"/>
        </w:rPr>
      </w:pPr>
    </w:p>
    <w:p>
      <w:pPr>
        <w:ind w:left="1540" w:right="20" w:hanging="243"/>
        <w:spacing w:after="0" w:line="273" w:lineRule="auto"/>
        <w:rPr>
          <w:rFonts w:ascii="Arial" w:cs="Arial" w:eastAsia="Arial" w:hAnsi="Arial"/>
          <w:sz w:val="18"/>
          <w:szCs w:val="18"/>
          <w:color w:val="auto"/>
        </w:rPr>
      </w:pPr>
      <w:r>
        <w:rPr>
          <w:rFonts w:ascii="Arial" w:cs="Arial" w:eastAsia="Arial" w:hAnsi="Arial"/>
          <w:sz w:val="17"/>
          <w:szCs w:val="17"/>
          <w:color w:val="auto"/>
        </w:rPr>
        <w:t>* Redmile Group, LLC’s and Jeremy C. Green’s beneficial ownership of the Issuer’s Common Stock is comprised of 1,675,036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177" w:lineRule="exact"/>
        <w:rPr>
          <w:rFonts w:ascii="Arial" w:cs="Arial" w:eastAsia="Arial" w:hAnsi="Arial"/>
          <w:sz w:val="18"/>
          <w:szCs w:val="18"/>
          <w:color w:val="auto"/>
        </w:rPr>
      </w:pPr>
    </w:p>
    <w:p>
      <w:pPr>
        <w:ind w:left="1540" w:right="180" w:hanging="236"/>
        <w:spacing w:after="0" w:line="277" w:lineRule="auto"/>
        <w:tabs>
          <w:tab w:leader="none" w:pos="15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Percentage based on 19,707,620 shares of Common Stock outstanding as of October 30, 2020, as reported by the Issuer in the Form 10-Q.</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2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the response to Item 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 w:name="page7"/>
    <w:bookmarkEnd w:id="6"/>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Redmile Group,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Jeremy C. Green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undersigned hereby agree to the joint filing on behalf of each of them of a Statement on Schedule 13G (including any and all amendments thereto, the “</w:t>
      </w:r>
      <w:r>
        <w:rPr>
          <w:rFonts w:ascii="Arial" w:cs="Arial" w:eastAsia="Arial" w:hAnsi="Arial"/>
          <w:sz w:val="18"/>
          <w:szCs w:val="18"/>
          <w:u w:val="single" w:color="auto"/>
          <w:color w:val="auto"/>
        </w:rPr>
        <w:t>Schedule 13G</w:t>
      </w:r>
      <w:r>
        <w:rPr>
          <w:rFonts w:ascii="Arial" w:cs="Arial" w:eastAsia="Arial" w:hAnsi="Arial"/>
          <w:sz w:val="18"/>
          <w:szCs w:val="18"/>
          <w:color w:val="auto"/>
        </w:rPr>
        <w:t>”) relating to the Common Stock, $0.00001 par value per share, of Krystal Biotech, Inc., which may be deemed necessary pursuant to Regulation 13D or 13G promulgated under the Exchange Act.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further agree that each party hereto is responsible for the timely filing of the Schedule 13G, and for the accuracy and completeness of the information concerning such party contained therein; provided, however, that no party is responsible for the accuracy or completeness of the information concerning any other party, unless such party knows or has a reason to believe that such information is inaccurate.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understood and agreed that a copy of this Joint Filing Agreement shall be attached as an exhibit to the Schedule 13G, filed on behalf of each of the parties 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this Joint Filing Agreement as of the 16th day of February,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REDMILE GROUP, LLC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C. Green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þ"/>
      <w:numFmt w:val="bullet"/>
      <w:start w:val="1"/>
    </w:lvl>
  </w:abstractNum>
  <w:abstractNum w:abstractNumId="1">
    <w:nsid w:val="41A7C4C9"/>
    <w:multiLevelType w:val="hybridMultilevel"/>
    <w:lvl w:ilvl="0">
      <w:lvlJc w:val="left"/>
      <w:lvlText w:val="*"/>
      <w:numFmt w:val="bullet"/>
      <w:start w:val="1"/>
    </w:lvl>
    <w:lvl w:ilvl="1">
      <w:lvlJc w:val="left"/>
      <w:lvlText w:val="☐"/>
      <w:numFmt w:val="bullet"/>
      <w:start w:val="1"/>
    </w:lvl>
  </w:abstractNum>
  <w:abstractNum w:abstractNumId="2">
    <w:nsid w:val="6B68079A"/>
    <w:multiLevelType w:val="hybridMultilevel"/>
    <w:lvl w:ilvl="0">
      <w:lvlJc w:val="left"/>
      <w:lvlText w:val="1"/>
      <w:numFmt w:val="bullet"/>
      <w:start w:val="1"/>
    </w:lvl>
  </w:abstractNum>
  <w:abstractNum w:abstractNumId="3">
    <w:nsid w:val="4E6AFB66"/>
    <w:multiLevelType w:val="hybridMultilevel"/>
    <w:lvl w:ilvl="0">
      <w:lvlJc w:val="left"/>
      <w:lvlText w:val="2"/>
      <w:numFmt w:val="bullet"/>
      <w:start w:val="1"/>
    </w:lvl>
  </w:abstractNum>
  <w:abstractNum w:abstractNumId="4">
    <w:nsid w:val="25E45D32"/>
    <w:multiLevelType w:val="hybridMultilevel"/>
    <w:lvl w:ilvl="0">
      <w:lvlJc w:val="left"/>
      <w:lvlText w:val="3"/>
      <w:numFmt w:val="bullet"/>
      <w:start w:val="1"/>
    </w:lvl>
  </w:abstractNum>
  <w:abstractNum w:abstractNumId="5">
    <w:nsid w:val="519B500D"/>
    <w:multiLevelType w:val="hybridMultilevel"/>
    <w:lvl w:ilvl="0">
      <w:lvlJc w:val="left"/>
      <w:lvlText w:val="4"/>
      <w:numFmt w:val="bullet"/>
      <w:start w:val="1"/>
    </w:lvl>
  </w:abstractNum>
  <w:abstractNum w:abstractNumId="6">
    <w:nsid w:val="431BD7B7"/>
    <w:multiLevelType w:val="hybridMultilevel"/>
    <w:lvl w:ilvl="0">
      <w:lvlJc w:val="left"/>
      <w:lvlText w:val="9"/>
      <w:numFmt w:val="bullet"/>
      <w:start w:val="1"/>
    </w:lvl>
  </w:abstractNum>
  <w:abstractNum w:abstractNumId="7">
    <w:nsid w:val="3F2DBA31"/>
    <w:multiLevelType w:val="hybridMultilevel"/>
    <w:lvl w:ilvl="0">
      <w:lvlJc w:val="left"/>
      <w:lvlText w:val="%1"/>
      <w:numFmt w:val="decimal"/>
      <w:start w:val="10"/>
    </w:lvl>
  </w:abstractNum>
  <w:abstractNum w:abstractNumId="8">
    <w:nsid w:val="7C83E458"/>
    <w:multiLevelType w:val="hybridMultilevel"/>
    <w:lvl w:ilvl="0">
      <w:lvlJc w:val="left"/>
      <w:lvlText w:val="%1"/>
      <w:numFmt w:val="decimal"/>
      <w:start w:val="12"/>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bullet"/>
      <w:start w:val="1"/>
    </w:lvl>
  </w:abstractNum>
  <w:abstractNum w:abstractNumId="11">
    <w:nsid w:val="436C6125"/>
    <w:multiLevelType w:val="hybridMultilevel"/>
    <w:lvl w:ilvl="0">
      <w:lvlJc w:val="left"/>
      <w:lvlText w:val="2"/>
      <w:numFmt w:val="bullet"/>
      <w:start w:val="1"/>
    </w:lvl>
  </w:abstractNum>
  <w:abstractNum w:abstractNumId="12">
    <w:nsid w:val="628C895D"/>
    <w:multiLevelType w:val="hybridMultilevel"/>
    <w:lvl w:ilvl="0">
      <w:lvlJc w:val="left"/>
      <w:lvlText w:val="3"/>
      <w:numFmt w:val="bullet"/>
      <w:start w:val="1"/>
    </w:lvl>
  </w:abstractNum>
  <w:abstractNum w:abstractNumId="13">
    <w:nsid w:val="333AB105"/>
    <w:multiLevelType w:val="hybridMultilevel"/>
    <w:lvl w:ilvl="0">
      <w:lvlJc w:val="left"/>
      <w:lvlText w:val="4"/>
      <w:numFmt w:val="bullet"/>
      <w:start w:val="1"/>
    </w:lvl>
  </w:abstractNum>
  <w:abstractNum w:abstractNumId="14">
    <w:nsid w:val="721DA317"/>
    <w:multiLevelType w:val="hybridMultilevel"/>
    <w:lvl w:ilvl="0">
      <w:lvlJc w:val="left"/>
      <w:lvlText w:val="9"/>
      <w:numFmt w:val="bullet"/>
      <w:start w:val="1"/>
    </w:lvl>
  </w:abstractNum>
  <w:abstractNum w:abstractNumId="15">
    <w:nsid w:val="2443A858"/>
    <w:multiLevelType w:val="hybridMultilevel"/>
    <w:lvl w:ilvl="0">
      <w:lvlJc w:val="left"/>
      <w:lvlText w:val="%1"/>
      <w:numFmt w:val="decimal"/>
      <w:start w:val="10"/>
    </w:lvl>
  </w:abstractNum>
  <w:abstractNum w:abstractNumId="16">
    <w:nsid w:val="2D1D5AE9"/>
    <w:multiLevelType w:val="hybridMultilevel"/>
    <w:lvl w:ilvl="0">
      <w:lvlJc w:val="left"/>
      <w:lvlText w:val="%1"/>
      <w:numFmt w:val="decimal"/>
      <w:start w:val="12"/>
    </w:lvl>
  </w:abstractNum>
  <w:abstractNum w:abstractNumId="17">
    <w:nsid w:val="6763845E"/>
    <w:multiLevelType w:val="hybridMultilevel"/>
    <w:lvl w:ilvl="0">
      <w:lvlJc w:val="left"/>
      <w:lvlText w:val="(%1)"/>
      <w:numFmt w:val="decimal"/>
      <w:start w:val="3"/>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2"/>
    </w:lvl>
  </w:abstractNum>
  <w:abstractNum w:abstractNumId="21">
    <w:nsid w:val="4353D0CD"/>
    <w:multiLevelType w:val="hybridMultilevel"/>
    <w:lvl w:ilvl="0">
      <w:lvlJc w:val="left"/>
      <w:lvlText w:val="(%1)"/>
      <w:numFmt w:val="lowerLetter"/>
      <w:start w:val="3"/>
    </w:lvl>
  </w:abstractNum>
  <w:abstractNum w:abstractNumId="22">
    <w:nsid w:val="B03E0C6"/>
    <w:multiLevelType w:val="hybridMultilevel"/>
    <w:lvl w:ilvl="0">
      <w:lvlJc w:val="left"/>
      <w:lvlText w:val="(%1)"/>
      <w:numFmt w:val="lowerLetter"/>
      <w:start w:val="4"/>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2"/>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
      <w:numFmt w:val="bullet"/>
      <w:start w:val="1"/>
    </w:lvl>
    <w:lvl w:ilvl="1">
      <w:lvlJc w:val="left"/>
      <w:lvlText w:val="(%2)"/>
      <w:numFmt w:val="lowerRoman"/>
      <w:start w:val="1"/>
    </w:lvl>
  </w:abstractNum>
  <w:abstractNum w:abstractNumId="28">
    <w:nsid w:val="2901D82"/>
    <w:multiLevelType w:val="hybridMultilevel"/>
    <w:lvl w:ilvl="0">
      <w:lvlJc w:val="left"/>
      <w:lvlText w:val="**"/>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2021-02-16T16:13:20Z</dcterms:created>
  <dcterms:modified xsi:type="dcterms:W3CDTF">2021-02-16T16:13:20Z</dcterms:modified>
</cp:coreProperties>
</file>