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5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2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Date of Report (Date of earliest event reported): May 15, 2026</w:t>
      </w:r>
    </w:p>
    <w:p>
      <w:pPr>
        <w:spacing w:after="0" w:line="3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0"/>
          <w:szCs w:val="40"/>
          <w:b w:val="1"/>
          <w:bCs w:val="1"/>
          <w:color w:val="auto"/>
        </w:rPr>
        <w:t>KRYSTAL BIOTECH, INC.</w:t>
      </w:r>
    </w:p>
    <w:p>
      <w:pPr>
        <w:spacing w:after="0" w:line="13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140"/>
          </w:cols>
          <w:pgMar w:left="320" w:top="983" w:right="439" w:bottom="1440" w:gutter="0" w:footer="0" w:header="0"/>
        </w:sectPr>
      </w:pPr>
    </w:p>
    <w:p>
      <w:pPr>
        <w:spacing w:after="0" w:line="374"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354" w:lineRule="exact"/>
        <w:rPr>
          <w:sz w:val="24"/>
          <w:szCs w:val="24"/>
          <w:color w:val="auto"/>
        </w:rPr>
      </w:pPr>
    </w:p>
    <w:p>
      <w:pPr>
        <w:jc w:val="center"/>
        <w:ind w:right="2460"/>
        <w:spacing w:after="0"/>
        <w:rPr>
          <w:sz w:val="20"/>
          <w:szCs w:val="20"/>
          <w:color w:val="auto"/>
        </w:rPr>
      </w:pPr>
      <w:r>
        <w:rPr>
          <w:rFonts w:ascii="Times New Roman" w:cs="Times New Roman" w:eastAsia="Times New Roman" w:hAnsi="Times New Roman"/>
          <w:sz w:val="17"/>
          <w:szCs w:val="17"/>
          <w:b w:val="1"/>
          <w:bCs w:val="1"/>
          <w:color w:val="auto"/>
        </w:rPr>
        <w:t>001-38210</w:t>
      </w:r>
    </w:p>
    <w:p>
      <w:pPr>
        <w:spacing w:after="0" w:line="20" w:lineRule="exact"/>
        <w:rPr>
          <w:sz w:val="24"/>
          <w:szCs w:val="24"/>
          <w:color w:val="auto"/>
        </w:rPr>
      </w:pPr>
      <w:r>
        <w:rPr>
          <w:sz w:val="24"/>
          <w:szCs w:val="24"/>
          <w:color w:val="auto"/>
        </w:rPr>
        <w:br w:type="column"/>
      </w:r>
    </w:p>
    <w:p>
      <w:pPr>
        <w:spacing w:after="0" w:line="35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82-1080209</w:t>
      </w:r>
    </w:p>
    <w:p>
      <w:pPr>
        <w:spacing w:after="0" w:line="23" w:lineRule="exact"/>
        <w:rPr>
          <w:sz w:val="24"/>
          <w:szCs w:val="24"/>
          <w:color w:val="auto"/>
        </w:rPr>
      </w:pPr>
    </w:p>
    <w:p>
      <w:pPr>
        <w:sectPr>
          <w:pgSz w:w="11900" w:h="16838" w:orient="portrait"/>
          <w:cols w:equalWidth="0" w:num="3">
            <w:col w:w="4440" w:space="720"/>
            <w:col w:w="3240" w:space="720"/>
            <w:col w:w="2020"/>
          </w:cols>
          <w:pgMar w:left="320" w:top="983" w:right="439" w:bottom="1440" w:gutter="0" w:footer="0" w:header="0"/>
          <w:type w:val="continuous"/>
        </w:sectPr>
      </w:pPr>
    </w:p>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20" w:space="720"/>
            <w:col w:w="3120" w:space="720"/>
            <w:col w:w="2160"/>
          </w:cols>
          <w:pgMar w:left="320" w:top="983" w:right="439" w:bottom="1440" w:gutter="0" w:footer="0" w:header="0"/>
          <w:type w:val="continuous"/>
        </w:sectPr>
      </w:pPr>
    </w:p>
    <w:p>
      <w:pPr>
        <w:spacing w:after="0" w:line="202"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14"/>
          <w:szCs w:val="14"/>
          <w:b w:val="1"/>
          <w:bCs w:val="1"/>
          <w:color w:val="auto"/>
        </w:rPr>
        <w:t>2100 Wharton Street, Suite 701</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15203</w:t>
      </w:r>
    </w:p>
    <w:p>
      <w:pPr>
        <w:spacing w:after="0" w:line="43" w:lineRule="exact"/>
        <w:rPr>
          <w:sz w:val="24"/>
          <w:szCs w:val="24"/>
          <w:color w:val="auto"/>
        </w:rPr>
      </w:pPr>
    </w:p>
    <w:p>
      <w:pPr>
        <w:sectPr>
          <w:pgSz w:w="11900" w:h="16838" w:orient="portrait"/>
          <w:cols w:equalWidth="0" w:num="2">
            <w:col w:w="7960" w:space="720"/>
            <w:col w:w="2460"/>
          </w:cols>
          <w:pgMar w:left="320" w:top="983" w:right="439" w:bottom="1440" w:gutter="0" w:footer="0" w:header="0"/>
          <w:type w:val="continuous"/>
        </w:sectPr>
      </w:pPr>
    </w:p>
    <w:p>
      <w:pPr>
        <w:ind w:left="3240"/>
        <w:spacing w:after="0"/>
        <w:rPr>
          <w:sz w:val="20"/>
          <w:szCs w:val="20"/>
          <w:color w:val="auto"/>
        </w:rPr>
      </w:pPr>
      <w:r>
        <w:rPr>
          <w:rFonts w:ascii="Times New Roman" w:cs="Times New Roman" w:eastAsia="Times New Roman" w:hAnsi="Times New Roman"/>
          <w:sz w:val="14"/>
          <w:szCs w:val="14"/>
          <w:b w:val="1"/>
          <w:bCs w:val="1"/>
          <w:color w:val="auto"/>
        </w:rPr>
        <w:t>Pittsburgh, Pennsylvania</w:t>
      </w:r>
    </w:p>
    <w:p>
      <w:pPr>
        <w:sectPr>
          <w:pgSz w:w="11900" w:h="16838" w:orient="portrait"/>
          <w:cols w:equalWidth="0" w:num="1">
            <w:col w:w="11140"/>
          </w:cols>
          <w:pgMar w:left="320" w:top="983" w:right="439" w:bottom="1440" w:gutter="0" w:footer="0" w:header="0"/>
          <w:type w:val="continuous"/>
        </w:sectPr>
      </w:pPr>
    </w:p>
    <w:p>
      <w:pPr>
        <w:spacing w:after="0" w:line="32" w:lineRule="exact"/>
        <w:rPr>
          <w:sz w:val="24"/>
          <w:szCs w:val="24"/>
          <w:color w:val="auto"/>
        </w:rPr>
      </w:pPr>
    </w:p>
    <w:p>
      <w:pPr>
        <w:ind w:left="280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200" w:lineRule="exact"/>
        <w:rPr>
          <w:sz w:val="24"/>
          <w:szCs w:val="24"/>
          <w:color w:val="auto"/>
        </w:rPr>
      </w:pPr>
    </w:p>
    <w:p>
      <w:pPr>
        <w:sectPr>
          <w:pgSz w:w="11900" w:h="16838" w:orient="portrait"/>
          <w:cols w:equalWidth="0" w:num="2">
            <w:col w:w="7860" w:space="720"/>
            <w:col w:w="2560"/>
          </w:cols>
          <w:pgMar w:left="320" w:top="983" w:right="439" w:bottom="1440" w:gutter="0" w:footer="0" w:header="0"/>
          <w:type w:val="continuous"/>
        </w:sectPr>
      </w:pP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Registrant’s telephone number, including area code (412) 586-5830</w:t>
      </w:r>
    </w:p>
    <w:p>
      <w:pPr>
        <w:spacing w:after="0" w:line="171" w:lineRule="exact"/>
        <w:rPr>
          <w:sz w:val="24"/>
          <w:szCs w:val="24"/>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00" w:lineRule="exact"/>
        <w:rPr>
          <w:rFonts w:ascii="MS PGothic" w:cs="MS PGothic" w:eastAsia="MS PGothic" w:hAnsi="MS PGothic"/>
          <w:sz w:val="18"/>
          <w:szCs w:val="18"/>
          <w:color w:val="auto"/>
        </w:rPr>
      </w:pPr>
    </w:p>
    <w:p>
      <w:pPr>
        <w:spacing w:after="0" w:line="241"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87"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97"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37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Trading Symbol(s)</w:t>
            </w:r>
          </w:p>
        </w:tc>
        <w:tc>
          <w:tcPr>
            <w:tcW w:w="3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12"/>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8"/>
                <w:szCs w:val="18"/>
                <w:color w:val="auto"/>
              </w:rPr>
            </w:pPr>
          </w:p>
        </w:tc>
        <w:tc>
          <w:tcPr>
            <w:tcW w:w="3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KRYS</w:t>
            </w:r>
          </w:p>
        </w:tc>
        <w:tc>
          <w:tcPr>
            <w:tcW w:w="120" w:type="dxa"/>
            <w:vAlign w:val="bottom"/>
          </w:tcPr>
          <w:p>
            <w:pPr>
              <w:spacing w:after="0"/>
              <w:rPr>
                <w:sz w:val="18"/>
                <w:szCs w:val="18"/>
                <w:color w:val="auto"/>
              </w:rPr>
            </w:pPr>
          </w:p>
        </w:tc>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Nasdaq Global Select Market</w:t>
            </w:r>
          </w:p>
        </w:tc>
      </w:tr>
    </w:tbl>
    <w:p>
      <w:pPr>
        <w:spacing w:after="0" w:line="309" w:lineRule="exact"/>
        <w:rPr>
          <w:sz w:val="24"/>
          <w:szCs w:val="24"/>
          <w:color w:val="auto"/>
        </w:rPr>
      </w:pPr>
    </w:p>
    <w:p>
      <w:pPr>
        <w:jc w:val="both"/>
        <w:ind w:right="4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6480"/>
        <w:spacing w:after="0" w:line="207" w:lineRule="exact"/>
        <w:tabs>
          <w:tab w:leader="none" w:pos="86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6" w:lineRule="exact"/>
        <w:rPr>
          <w:sz w:val="24"/>
          <w:szCs w:val="24"/>
          <w:color w:val="auto"/>
        </w:rPr>
      </w:pPr>
    </w:p>
    <w:p>
      <w:pPr>
        <w:ind w:right="2600"/>
        <w:spacing w:after="0" w:line="273" w:lineRule="auto"/>
        <w:rPr>
          <w:sz w:val="20"/>
          <w:szCs w:val="20"/>
          <w:color w:val="auto"/>
        </w:rPr>
      </w:pPr>
      <w:r>
        <w:rPr>
          <w:rFonts w:ascii="Times New Roman" w:cs="Times New Roman" w:eastAsia="Times New Roman" w:hAnsi="Times New Roman"/>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w:t>
      </w:r>
    </w:p>
    <w:p>
      <w:pPr>
        <w:spacing w:after="0" w:line="1" w:lineRule="exact"/>
        <w:rPr>
          <w:sz w:val="24"/>
          <w:szCs w:val="24"/>
          <w:color w:val="auto"/>
        </w:rPr>
      </w:pPr>
    </w:p>
    <w:p>
      <w:pPr>
        <w:spacing w:after="0" w:line="207" w:lineRule="exact"/>
        <w:tabs>
          <w:tab w:leader="none" w:pos="3380" w:val="left"/>
        </w:tabs>
        <w:rPr>
          <w:sz w:val="20"/>
          <w:szCs w:val="20"/>
          <w:color w:val="auto"/>
        </w:rPr>
      </w:pPr>
      <w:r>
        <w:rPr>
          <w:rFonts w:ascii="Times New Roman" w:cs="Times New Roman" w:eastAsia="Times New Roman" w:hAnsi="Times New Roman"/>
          <w:sz w:val="18"/>
          <w:szCs w:val="18"/>
          <w:color w:val="auto"/>
        </w:rPr>
        <w:t>Exchange Act.</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553720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214630</wp:posOffset>
            </wp:positionV>
            <wp:extent cx="70980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ectPr>
          <w:pgSz w:w="11900" w:h="16838" w:orient="portrait"/>
          <w:cols w:equalWidth="0" w:num="1">
            <w:col w:w="11140"/>
          </w:cols>
          <w:pgMar w:left="320" w:top="983" w:right="43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On May 15, 2026, Krystal Biotech, Inc. (the “Company”) held its 2026 Annual Meeting of Stockholders (the “Annual Meeting”). Set forth below are the matters acted upon at the Annual Meeting and the final voting results on each matter.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One: Election of Class III Directors</w:t>
      </w:r>
    </w:p>
    <w:p>
      <w:pPr>
        <w:spacing w:after="0" w:line="243"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8"/>
          <w:szCs w:val="18"/>
          <w:color w:val="auto"/>
        </w:rPr>
        <w:t>The Company’s stockholders elected Krish S. Krishnan and Christopher Mason as members of the Company’s Board of Directors as Class III directors for a three-year term. The results of the vote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2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7"/>
        </w:trPr>
        <w:tc>
          <w:tcPr>
            <w:tcW w:w="2580" w:type="dxa"/>
            <w:vAlign w:val="bottom"/>
            <w:tcBorders>
              <w:bottom w:val="single" w:sz="8" w:color="auto"/>
            </w:tcBorders>
          </w:tcPr>
          <w:p>
            <w:pPr>
              <w:spacing w:after="0"/>
              <w:rPr>
                <w:sz w:val="2"/>
                <w:szCs w:val="2"/>
                <w:color w:val="auto"/>
              </w:rPr>
            </w:pPr>
          </w:p>
        </w:tc>
        <w:tc>
          <w:tcPr>
            <w:tcW w:w="280" w:type="dxa"/>
            <w:vAlign w:val="bottom"/>
            <w:tcBorders>
              <w:bottom w:val="single" w:sz="8" w:color="DAEEF3"/>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80" w:type="dxa"/>
            <w:vAlign w:val="bottom"/>
            <w:tcBorders>
              <w:bottom w:val="single" w:sz="8" w:color="DAEEF3"/>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260" w:type="dxa"/>
            <w:vAlign w:val="bottom"/>
            <w:tcBorders>
              <w:bottom w:val="single" w:sz="8" w:color="DAEEF3"/>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r>
      <w:tr>
        <w:trPr>
          <w:trHeight w:val="230"/>
        </w:trPr>
        <w:tc>
          <w:tcPr>
            <w:tcW w:w="2580" w:type="dxa"/>
            <w:vAlign w:val="bottom"/>
            <w:tcBorders>
              <w:bottom w:val="single" w:sz="8" w:color="DAEEF3"/>
            </w:tcBorders>
            <w:shd w:val="clear" w:color="auto" w:fill="DAEEF3"/>
          </w:tcPr>
          <w:p>
            <w:pPr>
              <w:ind w:left="20"/>
              <w:spacing w:after="0"/>
              <w:rPr>
                <w:sz w:val="20"/>
                <w:szCs w:val="20"/>
                <w:color w:val="auto"/>
              </w:rPr>
            </w:pPr>
            <w:r>
              <w:rPr>
                <w:rFonts w:ascii="Times New Roman" w:cs="Times New Roman" w:eastAsia="Times New Roman" w:hAnsi="Times New Roman"/>
                <w:sz w:val="18"/>
                <w:szCs w:val="18"/>
                <w:color w:val="auto"/>
              </w:rPr>
              <w:t>Krish S. Krishnan</w:t>
            </w:r>
          </w:p>
        </w:tc>
        <w:tc>
          <w:tcPr>
            <w:tcW w:w="280" w:type="dxa"/>
            <w:vAlign w:val="bottom"/>
            <w:tcBorders>
              <w:bottom w:val="single" w:sz="8" w:color="DAEEF3"/>
            </w:tcBorders>
            <w:shd w:val="clear" w:color="auto" w:fill="DAEEF3"/>
          </w:tcPr>
          <w:p>
            <w:pPr>
              <w:spacing w:after="0"/>
              <w:rPr>
                <w:sz w:val="20"/>
                <w:szCs w:val="20"/>
                <w:color w:val="auto"/>
              </w:rPr>
            </w:pPr>
          </w:p>
        </w:tc>
        <w:tc>
          <w:tcPr>
            <w:tcW w:w="2540" w:type="dxa"/>
            <w:vAlign w:val="bottom"/>
            <w:tcBorders>
              <w:bottom w:val="single" w:sz="8" w:color="DAEEF3"/>
            </w:tcBorders>
            <w:shd w:val="clear" w:color="auto" w:fill="DAEEF3"/>
          </w:tcPr>
          <w:p>
            <w:pPr>
              <w:ind w:left="20"/>
              <w:spacing w:after="0"/>
              <w:rPr>
                <w:sz w:val="20"/>
                <w:szCs w:val="20"/>
                <w:color w:val="auto"/>
              </w:rPr>
            </w:pPr>
            <w:r>
              <w:rPr>
                <w:rFonts w:ascii="Times New Roman" w:cs="Times New Roman" w:eastAsia="Times New Roman" w:hAnsi="Times New Roman"/>
                <w:sz w:val="18"/>
                <w:szCs w:val="18"/>
                <w:color w:val="auto"/>
              </w:rPr>
              <w:t>23,802,920</w:t>
            </w:r>
          </w:p>
        </w:tc>
        <w:tc>
          <w:tcPr>
            <w:tcW w:w="280" w:type="dxa"/>
            <w:vAlign w:val="bottom"/>
            <w:tcBorders>
              <w:bottom w:val="single" w:sz="8" w:color="DAEEF3"/>
            </w:tcBorders>
            <w:shd w:val="clear" w:color="auto" w:fill="DAEEF3"/>
          </w:tcPr>
          <w:p>
            <w:pPr>
              <w:spacing w:after="0"/>
              <w:rPr>
                <w:sz w:val="20"/>
                <w:szCs w:val="20"/>
                <w:color w:val="auto"/>
              </w:rPr>
            </w:pPr>
          </w:p>
        </w:tc>
        <w:tc>
          <w:tcPr>
            <w:tcW w:w="2640" w:type="dxa"/>
            <w:vAlign w:val="bottom"/>
            <w:tcBorders>
              <w:bottom w:val="single" w:sz="8" w:color="DAEEF3"/>
            </w:tcBorders>
            <w:shd w:val="clear" w:color="auto" w:fill="DAEEF3"/>
          </w:tcPr>
          <w:p>
            <w:pPr>
              <w:ind w:left="20"/>
              <w:spacing w:after="0"/>
              <w:rPr>
                <w:sz w:val="20"/>
                <w:szCs w:val="20"/>
                <w:color w:val="auto"/>
              </w:rPr>
            </w:pPr>
            <w:r>
              <w:rPr>
                <w:rFonts w:ascii="Times New Roman" w:cs="Times New Roman" w:eastAsia="Times New Roman" w:hAnsi="Times New Roman"/>
                <w:sz w:val="18"/>
                <w:szCs w:val="18"/>
                <w:color w:val="auto"/>
              </w:rPr>
              <w:t>3,079,194</w:t>
            </w:r>
          </w:p>
        </w:tc>
        <w:tc>
          <w:tcPr>
            <w:tcW w:w="260" w:type="dxa"/>
            <w:vAlign w:val="bottom"/>
            <w:tcBorders>
              <w:bottom w:val="single" w:sz="8" w:color="DAEEF3"/>
            </w:tcBorders>
            <w:shd w:val="clear" w:color="auto" w:fill="DAEEF3"/>
          </w:tcPr>
          <w:p>
            <w:pPr>
              <w:spacing w:after="0"/>
              <w:rPr>
                <w:sz w:val="20"/>
                <w:szCs w:val="20"/>
                <w:color w:val="auto"/>
              </w:rPr>
            </w:pPr>
          </w:p>
        </w:tc>
        <w:tc>
          <w:tcPr>
            <w:tcW w:w="2660" w:type="dxa"/>
            <w:vAlign w:val="bottom"/>
            <w:tcBorders>
              <w:bottom w:val="single" w:sz="8" w:color="DAEEF3"/>
            </w:tcBorders>
            <w:shd w:val="clear" w:color="auto" w:fill="DAEEF3"/>
          </w:tcPr>
          <w:p>
            <w:pPr>
              <w:ind w:left="20"/>
              <w:spacing w:after="0"/>
              <w:rPr>
                <w:sz w:val="20"/>
                <w:szCs w:val="20"/>
                <w:color w:val="auto"/>
              </w:rPr>
            </w:pPr>
            <w:r>
              <w:rPr>
                <w:rFonts w:ascii="Times New Roman" w:cs="Times New Roman" w:eastAsia="Times New Roman" w:hAnsi="Times New Roman"/>
                <w:sz w:val="18"/>
                <w:szCs w:val="18"/>
                <w:color w:val="auto"/>
              </w:rPr>
              <w:t>1,581,473</w:t>
            </w:r>
          </w:p>
        </w:tc>
      </w:tr>
      <w:tr>
        <w:trPr>
          <w:trHeight w:val="234"/>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Christopher Mason</w:t>
            </w:r>
          </w:p>
        </w:tc>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22,581,854</w:t>
            </w:r>
          </w:p>
        </w:tc>
        <w:tc>
          <w:tcPr>
            <w:tcW w:w="280" w:type="dxa"/>
            <w:vAlign w:val="bottom"/>
          </w:tcPr>
          <w:p>
            <w:pPr>
              <w:spacing w:after="0"/>
              <w:rPr>
                <w:sz w:val="20"/>
                <w:szCs w:val="20"/>
                <w:color w:val="auto"/>
              </w:rPr>
            </w:pPr>
          </w:p>
        </w:tc>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4,300,260</w:t>
            </w:r>
          </w:p>
        </w:tc>
        <w:tc>
          <w:tcPr>
            <w:tcW w:w="260" w:type="dxa"/>
            <w:vAlign w:val="bottom"/>
          </w:tcPr>
          <w:p>
            <w:pPr>
              <w:spacing w:after="0"/>
              <w:rPr>
                <w:sz w:val="20"/>
                <w:szCs w:val="20"/>
                <w:color w:val="auto"/>
              </w:rPr>
            </w:pPr>
          </w:p>
        </w:tc>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1,581,473</w:t>
            </w: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Two: Ratification of Appointment of Independent Registered Public Accounting Firm</w:t>
      </w:r>
    </w:p>
    <w:p>
      <w:pPr>
        <w:spacing w:after="0" w:line="243"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The Company’s stockholders ratified the appointment of KPMG LLP as the Company’s independent registered public accounting firm for the fiscal year ending December 31, 2026. The results of the vote were as follows: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7"/>
        </w:trPr>
        <w:tc>
          <w:tcPr>
            <w:tcW w:w="2780" w:type="dxa"/>
            <w:vAlign w:val="bottom"/>
            <w:tcBorders>
              <w:bottom w:val="single" w:sz="8" w:color="auto"/>
            </w:tcBorders>
          </w:tcPr>
          <w:p>
            <w:pPr>
              <w:spacing w:after="0"/>
              <w:rPr>
                <w:sz w:val="2"/>
                <w:szCs w:val="2"/>
                <w:color w:val="auto"/>
              </w:rPr>
            </w:pPr>
          </w:p>
        </w:tc>
        <w:tc>
          <w:tcPr>
            <w:tcW w:w="300" w:type="dxa"/>
            <w:vAlign w:val="bottom"/>
            <w:tcBorders>
              <w:bottom w:val="single" w:sz="8" w:color="DAEEF3"/>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280" w:type="dxa"/>
            <w:vAlign w:val="bottom"/>
            <w:tcBorders>
              <w:bottom w:val="single" w:sz="8" w:color="DAEEF3"/>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r>
      <w:tr>
        <w:trPr>
          <w:trHeight w:val="228"/>
        </w:trPr>
        <w:tc>
          <w:tcPr>
            <w:tcW w:w="2780" w:type="dxa"/>
            <w:vAlign w:val="bottom"/>
            <w:shd w:val="clear" w:color="auto" w:fill="DAEEF3"/>
          </w:tcPr>
          <w:p>
            <w:pPr>
              <w:ind w:left="20"/>
              <w:spacing w:after="0"/>
              <w:rPr>
                <w:sz w:val="20"/>
                <w:szCs w:val="20"/>
                <w:color w:val="auto"/>
              </w:rPr>
            </w:pPr>
            <w:r>
              <w:rPr>
                <w:rFonts w:ascii="Times New Roman" w:cs="Times New Roman" w:eastAsia="Times New Roman" w:hAnsi="Times New Roman"/>
                <w:sz w:val="18"/>
                <w:szCs w:val="18"/>
                <w:color w:val="auto"/>
              </w:rPr>
              <w:t>28,443,155</w:t>
            </w:r>
          </w:p>
        </w:tc>
        <w:tc>
          <w:tcPr>
            <w:tcW w:w="300" w:type="dxa"/>
            <w:vAlign w:val="bottom"/>
            <w:shd w:val="clear" w:color="auto" w:fill="DAEEF3"/>
          </w:tcPr>
          <w:p>
            <w:pPr>
              <w:spacing w:after="0"/>
              <w:rPr>
                <w:sz w:val="19"/>
                <w:szCs w:val="19"/>
                <w:color w:val="auto"/>
              </w:rPr>
            </w:pPr>
          </w:p>
        </w:tc>
        <w:tc>
          <w:tcPr>
            <w:tcW w:w="2700" w:type="dxa"/>
            <w:vAlign w:val="bottom"/>
            <w:shd w:val="clear" w:color="auto" w:fill="DAEEF3"/>
          </w:tcPr>
          <w:p>
            <w:pPr>
              <w:ind w:left="20"/>
              <w:spacing w:after="0"/>
              <w:rPr>
                <w:sz w:val="20"/>
                <w:szCs w:val="20"/>
                <w:color w:val="auto"/>
              </w:rPr>
            </w:pPr>
            <w:r>
              <w:rPr>
                <w:rFonts w:ascii="Times New Roman" w:cs="Times New Roman" w:eastAsia="Times New Roman" w:hAnsi="Times New Roman"/>
                <w:sz w:val="18"/>
                <w:szCs w:val="18"/>
                <w:color w:val="auto"/>
              </w:rPr>
              <w:t>15,434</w:t>
            </w:r>
          </w:p>
        </w:tc>
        <w:tc>
          <w:tcPr>
            <w:tcW w:w="280" w:type="dxa"/>
            <w:vAlign w:val="bottom"/>
            <w:shd w:val="clear" w:color="auto" w:fill="DAEEF3"/>
          </w:tcPr>
          <w:p>
            <w:pPr>
              <w:spacing w:after="0"/>
              <w:rPr>
                <w:sz w:val="19"/>
                <w:szCs w:val="19"/>
                <w:color w:val="auto"/>
              </w:rPr>
            </w:pPr>
          </w:p>
        </w:tc>
        <w:tc>
          <w:tcPr>
            <w:tcW w:w="2820" w:type="dxa"/>
            <w:vAlign w:val="bottom"/>
            <w:shd w:val="clear" w:color="auto" w:fill="DAEEF3"/>
          </w:tcPr>
          <w:p>
            <w:pPr>
              <w:ind w:left="20"/>
              <w:spacing w:after="0"/>
              <w:rPr>
                <w:sz w:val="20"/>
                <w:szCs w:val="20"/>
                <w:color w:val="auto"/>
              </w:rPr>
            </w:pPr>
            <w:r>
              <w:rPr>
                <w:rFonts w:ascii="Times New Roman" w:cs="Times New Roman" w:eastAsia="Times New Roman" w:hAnsi="Times New Roman"/>
                <w:sz w:val="18"/>
                <w:szCs w:val="18"/>
                <w:color w:val="auto"/>
              </w:rPr>
              <w:t>4,998</w:t>
            </w:r>
          </w:p>
        </w:tc>
      </w:tr>
      <w:tr>
        <w:trPr>
          <w:trHeight w:val="22"/>
        </w:trPr>
        <w:tc>
          <w:tcPr>
            <w:tcW w:w="2780" w:type="dxa"/>
            <w:vAlign w:val="bottom"/>
            <w:shd w:val="clear" w:color="auto" w:fill="DAEEF3"/>
          </w:tcPr>
          <w:p>
            <w:pPr>
              <w:spacing w:after="0" w:line="20" w:lineRule="exact"/>
              <w:rPr>
                <w:sz w:val="1"/>
                <w:szCs w:val="1"/>
                <w:color w:val="auto"/>
              </w:rPr>
            </w:pPr>
          </w:p>
        </w:tc>
        <w:tc>
          <w:tcPr>
            <w:tcW w:w="300" w:type="dxa"/>
            <w:vAlign w:val="bottom"/>
            <w:shd w:val="clear" w:color="auto" w:fill="DAEEF3"/>
          </w:tcPr>
          <w:p>
            <w:pPr>
              <w:spacing w:after="0" w:line="20" w:lineRule="exact"/>
              <w:rPr>
                <w:sz w:val="1"/>
                <w:szCs w:val="1"/>
                <w:color w:val="auto"/>
              </w:rPr>
            </w:pPr>
          </w:p>
        </w:tc>
        <w:tc>
          <w:tcPr>
            <w:tcW w:w="2700" w:type="dxa"/>
            <w:vAlign w:val="bottom"/>
            <w:shd w:val="clear" w:color="auto" w:fill="DAEEF3"/>
          </w:tcPr>
          <w:p>
            <w:pPr>
              <w:spacing w:after="0" w:line="20" w:lineRule="exact"/>
              <w:rPr>
                <w:sz w:val="1"/>
                <w:szCs w:val="1"/>
                <w:color w:val="auto"/>
              </w:rPr>
            </w:pPr>
          </w:p>
        </w:tc>
        <w:tc>
          <w:tcPr>
            <w:tcW w:w="280" w:type="dxa"/>
            <w:vAlign w:val="bottom"/>
            <w:shd w:val="clear" w:color="auto" w:fill="DAEEF3"/>
          </w:tcPr>
          <w:p>
            <w:pPr>
              <w:spacing w:after="0" w:line="20" w:lineRule="exact"/>
              <w:rPr>
                <w:sz w:val="1"/>
                <w:szCs w:val="1"/>
                <w:color w:val="auto"/>
              </w:rPr>
            </w:pPr>
          </w:p>
        </w:tc>
        <w:tc>
          <w:tcPr>
            <w:tcW w:w="2820" w:type="dxa"/>
            <w:vAlign w:val="bottom"/>
            <w:shd w:val="clear" w:color="auto" w:fill="DAEEF3"/>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Three: Non-Binding, Advisory Vote on Named Executive Officer Compensation</w:t>
      </w:r>
    </w:p>
    <w:p>
      <w:pPr>
        <w:spacing w:after="0" w:line="243" w:lineRule="exact"/>
        <w:rPr>
          <w:sz w:val="20"/>
          <w:szCs w:val="20"/>
          <w:color w:val="auto"/>
        </w:rPr>
      </w:pPr>
    </w:p>
    <w:p>
      <w:pPr>
        <w:jc w:val="both"/>
        <w:ind w:right="260"/>
        <w:spacing w:after="0" w:line="250" w:lineRule="auto"/>
        <w:rPr>
          <w:sz w:val="20"/>
          <w:szCs w:val="20"/>
          <w:color w:val="auto"/>
        </w:rPr>
      </w:pPr>
      <w:r>
        <w:rPr>
          <w:rFonts w:ascii="Times New Roman" w:cs="Times New Roman" w:eastAsia="Times New Roman" w:hAnsi="Times New Roman"/>
          <w:sz w:val="18"/>
          <w:szCs w:val="18"/>
          <w:color w:val="auto"/>
        </w:rPr>
        <w:t>The Company’s stockholders approved, on an advisory (non-binding) basis, the compensation of the Company’s named executive officers for the fiscal year ended December 31, 2025, as disclosed in the Company’s proxy statement for the Annual Meeting pursuant to the compensation disclosure rules of the Securities and Exchange Commission. The results of the vote were as follows: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7"/>
        </w:trPr>
        <w:tc>
          <w:tcPr>
            <w:tcW w:w="2580" w:type="dxa"/>
            <w:vAlign w:val="bottom"/>
            <w:tcBorders>
              <w:bottom w:val="single" w:sz="8" w:color="auto"/>
            </w:tcBorders>
          </w:tcPr>
          <w:p>
            <w:pPr>
              <w:spacing w:after="0"/>
              <w:rPr>
                <w:sz w:val="2"/>
                <w:szCs w:val="2"/>
                <w:color w:val="auto"/>
              </w:rPr>
            </w:pPr>
          </w:p>
        </w:tc>
        <w:tc>
          <w:tcPr>
            <w:tcW w:w="280" w:type="dxa"/>
            <w:vAlign w:val="bottom"/>
            <w:tcBorders>
              <w:bottom w:val="single" w:sz="8" w:color="DAEEF3"/>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80" w:type="dxa"/>
            <w:vAlign w:val="bottom"/>
            <w:tcBorders>
              <w:bottom w:val="single" w:sz="8" w:color="DAEEF3"/>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260" w:type="dxa"/>
            <w:vAlign w:val="bottom"/>
            <w:tcBorders>
              <w:bottom w:val="single" w:sz="8" w:color="DAEEF3"/>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r>
      <w:tr>
        <w:trPr>
          <w:trHeight w:val="228"/>
        </w:trPr>
        <w:tc>
          <w:tcPr>
            <w:tcW w:w="2580" w:type="dxa"/>
            <w:vAlign w:val="bottom"/>
            <w:shd w:val="clear" w:color="auto" w:fill="DAEEF3"/>
          </w:tcPr>
          <w:p>
            <w:pPr>
              <w:ind w:left="20"/>
              <w:spacing w:after="0"/>
              <w:rPr>
                <w:sz w:val="20"/>
                <w:szCs w:val="20"/>
                <w:color w:val="auto"/>
              </w:rPr>
            </w:pPr>
            <w:r>
              <w:rPr>
                <w:rFonts w:ascii="Times New Roman" w:cs="Times New Roman" w:eastAsia="Times New Roman" w:hAnsi="Times New Roman"/>
                <w:sz w:val="18"/>
                <w:szCs w:val="18"/>
                <w:color w:val="auto"/>
              </w:rPr>
              <w:t>25,679,318</w:t>
            </w:r>
          </w:p>
        </w:tc>
        <w:tc>
          <w:tcPr>
            <w:tcW w:w="280" w:type="dxa"/>
            <w:vAlign w:val="bottom"/>
            <w:shd w:val="clear" w:color="auto" w:fill="DAEEF3"/>
          </w:tcPr>
          <w:p>
            <w:pPr>
              <w:spacing w:after="0"/>
              <w:rPr>
                <w:sz w:val="19"/>
                <w:szCs w:val="19"/>
                <w:color w:val="auto"/>
              </w:rPr>
            </w:pPr>
          </w:p>
        </w:tc>
        <w:tc>
          <w:tcPr>
            <w:tcW w:w="2540" w:type="dxa"/>
            <w:vAlign w:val="bottom"/>
            <w:shd w:val="clear" w:color="auto" w:fill="DAEEF3"/>
          </w:tcPr>
          <w:p>
            <w:pPr>
              <w:ind w:left="20"/>
              <w:spacing w:after="0"/>
              <w:rPr>
                <w:sz w:val="20"/>
                <w:szCs w:val="20"/>
                <w:color w:val="auto"/>
              </w:rPr>
            </w:pPr>
            <w:r>
              <w:rPr>
                <w:rFonts w:ascii="Times New Roman" w:cs="Times New Roman" w:eastAsia="Times New Roman" w:hAnsi="Times New Roman"/>
                <w:sz w:val="18"/>
                <w:szCs w:val="18"/>
                <w:color w:val="auto"/>
              </w:rPr>
              <w:t>1,195,788</w:t>
            </w:r>
          </w:p>
        </w:tc>
        <w:tc>
          <w:tcPr>
            <w:tcW w:w="280" w:type="dxa"/>
            <w:vAlign w:val="bottom"/>
            <w:shd w:val="clear" w:color="auto" w:fill="DAEEF3"/>
          </w:tcPr>
          <w:p>
            <w:pPr>
              <w:spacing w:after="0"/>
              <w:rPr>
                <w:sz w:val="19"/>
                <w:szCs w:val="19"/>
                <w:color w:val="auto"/>
              </w:rPr>
            </w:pPr>
          </w:p>
        </w:tc>
        <w:tc>
          <w:tcPr>
            <w:tcW w:w="2640" w:type="dxa"/>
            <w:vAlign w:val="bottom"/>
            <w:shd w:val="clear" w:color="auto" w:fill="DAEEF3"/>
          </w:tcPr>
          <w:p>
            <w:pPr>
              <w:ind w:left="20"/>
              <w:spacing w:after="0"/>
              <w:rPr>
                <w:sz w:val="20"/>
                <w:szCs w:val="20"/>
                <w:color w:val="auto"/>
              </w:rPr>
            </w:pPr>
            <w:r>
              <w:rPr>
                <w:rFonts w:ascii="Times New Roman" w:cs="Times New Roman" w:eastAsia="Times New Roman" w:hAnsi="Times New Roman"/>
                <w:sz w:val="18"/>
                <w:szCs w:val="18"/>
                <w:color w:val="auto"/>
              </w:rPr>
              <w:t>7,008</w:t>
            </w:r>
          </w:p>
        </w:tc>
        <w:tc>
          <w:tcPr>
            <w:tcW w:w="260" w:type="dxa"/>
            <w:vAlign w:val="bottom"/>
            <w:shd w:val="clear" w:color="auto" w:fill="DAEEF3"/>
          </w:tcPr>
          <w:p>
            <w:pPr>
              <w:spacing w:after="0"/>
              <w:rPr>
                <w:sz w:val="19"/>
                <w:szCs w:val="19"/>
                <w:color w:val="auto"/>
              </w:rPr>
            </w:pPr>
          </w:p>
        </w:tc>
        <w:tc>
          <w:tcPr>
            <w:tcW w:w="2660" w:type="dxa"/>
            <w:vAlign w:val="bottom"/>
            <w:shd w:val="clear" w:color="auto" w:fill="DAEEF3"/>
          </w:tcPr>
          <w:p>
            <w:pPr>
              <w:ind w:left="20"/>
              <w:spacing w:after="0"/>
              <w:rPr>
                <w:sz w:val="20"/>
                <w:szCs w:val="20"/>
                <w:color w:val="auto"/>
              </w:rPr>
            </w:pPr>
            <w:r>
              <w:rPr>
                <w:rFonts w:ascii="Times New Roman" w:cs="Times New Roman" w:eastAsia="Times New Roman" w:hAnsi="Times New Roman"/>
                <w:sz w:val="18"/>
                <w:szCs w:val="18"/>
                <w:color w:val="auto"/>
              </w:rPr>
              <w:t>1,581,473</w:t>
            </w:r>
          </w:p>
        </w:tc>
      </w:tr>
      <w:tr>
        <w:trPr>
          <w:trHeight w:val="22"/>
        </w:trPr>
        <w:tc>
          <w:tcPr>
            <w:tcW w:w="2580" w:type="dxa"/>
            <w:vAlign w:val="bottom"/>
            <w:shd w:val="clear" w:color="auto" w:fill="DAEEF3"/>
          </w:tcPr>
          <w:p>
            <w:pPr>
              <w:spacing w:after="0" w:line="20" w:lineRule="exact"/>
              <w:rPr>
                <w:sz w:val="1"/>
                <w:szCs w:val="1"/>
                <w:color w:val="auto"/>
              </w:rPr>
            </w:pPr>
          </w:p>
        </w:tc>
        <w:tc>
          <w:tcPr>
            <w:tcW w:w="280" w:type="dxa"/>
            <w:vAlign w:val="bottom"/>
            <w:shd w:val="clear" w:color="auto" w:fill="DAEEF3"/>
          </w:tcPr>
          <w:p>
            <w:pPr>
              <w:spacing w:after="0" w:line="20" w:lineRule="exact"/>
              <w:rPr>
                <w:sz w:val="1"/>
                <w:szCs w:val="1"/>
                <w:color w:val="auto"/>
              </w:rPr>
            </w:pPr>
          </w:p>
        </w:tc>
        <w:tc>
          <w:tcPr>
            <w:tcW w:w="2540" w:type="dxa"/>
            <w:vAlign w:val="bottom"/>
            <w:shd w:val="clear" w:color="auto" w:fill="DAEEF3"/>
          </w:tcPr>
          <w:p>
            <w:pPr>
              <w:spacing w:after="0" w:line="20" w:lineRule="exact"/>
              <w:rPr>
                <w:sz w:val="1"/>
                <w:szCs w:val="1"/>
                <w:color w:val="auto"/>
              </w:rPr>
            </w:pPr>
          </w:p>
        </w:tc>
        <w:tc>
          <w:tcPr>
            <w:tcW w:w="280" w:type="dxa"/>
            <w:vAlign w:val="bottom"/>
            <w:shd w:val="clear" w:color="auto" w:fill="DAEEF3"/>
          </w:tcPr>
          <w:p>
            <w:pPr>
              <w:spacing w:after="0" w:line="20" w:lineRule="exact"/>
              <w:rPr>
                <w:sz w:val="1"/>
                <w:szCs w:val="1"/>
                <w:color w:val="auto"/>
              </w:rPr>
            </w:pPr>
          </w:p>
        </w:tc>
        <w:tc>
          <w:tcPr>
            <w:tcW w:w="2640" w:type="dxa"/>
            <w:vAlign w:val="bottom"/>
            <w:shd w:val="clear" w:color="auto" w:fill="DAEEF3"/>
          </w:tcPr>
          <w:p>
            <w:pPr>
              <w:spacing w:after="0" w:line="20" w:lineRule="exact"/>
              <w:rPr>
                <w:sz w:val="1"/>
                <w:szCs w:val="1"/>
                <w:color w:val="auto"/>
              </w:rPr>
            </w:pPr>
          </w:p>
        </w:tc>
        <w:tc>
          <w:tcPr>
            <w:tcW w:w="260" w:type="dxa"/>
            <w:vAlign w:val="bottom"/>
            <w:shd w:val="clear" w:color="auto" w:fill="DAEEF3"/>
          </w:tcPr>
          <w:p>
            <w:pPr>
              <w:spacing w:after="0" w:line="20" w:lineRule="exact"/>
              <w:rPr>
                <w:sz w:val="1"/>
                <w:szCs w:val="1"/>
                <w:color w:val="auto"/>
              </w:rPr>
            </w:pPr>
          </w:p>
        </w:tc>
        <w:tc>
          <w:tcPr>
            <w:tcW w:w="2660" w:type="dxa"/>
            <w:vAlign w:val="bottom"/>
            <w:shd w:val="clear" w:color="auto" w:fill="DAEEF3"/>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Four: Non-Employee Director Compensation Policy</w:t>
      </w:r>
    </w:p>
    <w:p>
      <w:pPr>
        <w:spacing w:after="0" w:line="243"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 xml:space="preserve">The Company’s unaffiliated stockholders (i.e., excluding the members of the the Company’s board of directors and the defendants in the litigation entitled </w:t>
      </w:r>
      <w:r>
        <w:rPr>
          <w:rFonts w:ascii="Times New Roman" w:cs="Times New Roman" w:eastAsia="Times New Roman" w:hAnsi="Times New Roman"/>
          <w:sz w:val="18"/>
          <w:szCs w:val="18"/>
          <w:i w:val="1"/>
          <w:iCs w:val="1"/>
          <w:color w:val="auto"/>
        </w:rPr>
        <w:t>Corbin v. Janney, et al.</w:t>
      </w:r>
      <w:r>
        <w:rPr>
          <w:rFonts w:ascii="Times New Roman" w:cs="Times New Roman" w:eastAsia="Times New Roman" w:hAnsi="Times New Roman"/>
          <w:sz w:val="18"/>
          <w:szCs w:val="18"/>
          <w:color w:val="auto"/>
        </w:rPr>
        <w:t>, C.A. No. 2025-1051-KSJM (Del. Ch.) who refrained from voting on this matter in their capacities as stockholders) approved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Non-Employee Director Compensation Policy. The results of the vote were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7"/>
        </w:trPr>
        <w:tc>
          <w:tcPr>
            <w:tcW w:w="2580" w:type="dxa"/>
            <w:vAlign w:val="bottom"/>
            <w:tcBorders>
              <w:bottom w:val="single" w:sz="8" w:color="auto"/>
            </w:tcBorders>
          </w:tcPr>
          <w:p>
            <w:pPr>
              <w:spacing w:after="0"/>
              <w:rPr>
                <w:sz w:val="2"/>
                <w:szCs w:val="2"/>
                <w:color w:val="auto"/>
              </w:rPr>
            </w:pPr>
          </w:p>
        </w:tc>
        <w:tc>
          <w:tcPr>
            <w:tcW w:w="280" w:type="dxa"/>
            <w:vAlign w:val="bottom"/>
            <w:tcBorders>
              <w:bottom w:val="single" w:sz="8" w:color="DAEEF3"/>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80" w:type="dxa"/>
            <w:vAlign w:val="bottom"/>
            <w:tcBorders>
              <w:bottom w:val="single" w:sz="8" w:color="DAEEF3"/>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260" w:type="dxa"/>
            <w:vAlign w:val="bottom"/>
            <w:tcBorders>
              <w:bottom w:val="single" w:sz="8" w:color="DAEEF3"/>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r>
      <w:tr>
        <w:trPr>
          <w:trHeight w:val="230"/>
        </w:trPr>
        <w:tc>
          <w:tcPr>
            <w:tcW w:w="2580" w:type="dxa"/>
            <w:vAlign w:val="bottom"/>
            <w:tcBorders>
              <w:bottom w:val="single" w:sz="8" w:color="DAEEF3"/>
            </w:tcBorders>
            <w:shd w:val="clear" w:color="auto" w:fill="DAEEF3"/>
          </w:tcPr>
          <w:p>
            <w:pPr>
              <w:ind w:left="20"/>
              <w:spacing w:after="0"/>
              <w:rPr>
                <w:sz w:val="20"/>
                <w:szCs w:val="20"/>
                <w:color w:val="auto"/>
              </w:rPr>
            </w:pPr>
            <w:r>
              <w:rPr>
                <w:rFonts w:ascii="Times New Roman" w:cs="Times New Roman" w:eastAsia="Times New Roman" w:hAnsi="Times New Roman"/>
                <w:sz w:val="18"/>
                <w:szCs w:val="18"/>
                <w:color w:val="auto"/>
              </w:rPr>
              <w:t>21,374,021</w:t>
            </w:r>
          </w:p>
        </w:tc>
        <w:tc>
          <w:tcPr>
            <w:tcW w:w="280" w:type="dxa"/>
            <w:vAlign w:val="bottom"/>
            <w:tcBorders>
              <w:bottom w:val="single" w:sz="8" w:color="DAEEF3"/>
            </w:tcBorders>
            <w:shd w:val="clear" w:color="auto" w:fill="DAEEF3"/>
          </w:tcPr>
          <w:p>
            <w:pPr>
              <w:spacing w:after="0"/>
              <w:rPr>
                <w:sz w:val="20"/>
                <w:szCs w:val="20"/>
                <w:color w:val="auto"/>
              </w:rPr>
            </w:pPr>
          </w:p>
        </w:tc>
        <w:tc>
          <w:tcPr>
            <w:tcW w:w="2540" w:type="dxa"/>
            <w:vAlign w:val="bottom"/>
            <w:tcBorders>
              <w:bottom w:val="single" w:sz="8" w:color="DAEEF3"/>
            </w:tcBorders>
            <w:shd w:val="clear" w:color="auto" w:fill="DAEEF3"/>
          </w:tcPr>
          <w:p>
            <w:pPr>
              <w:ind w:left="20"/>
              <w:spacing w:after="0"/>
              <w:rPr>
                <w:sz w:val="20"/>
                <w:szCs w:val="20"/>
                <w:color w:val="auto"/>
              </w:rPr>
            </w:pPr>
            <w:r>
              <w:rPr>
                <w:rFonts w:ascii="Times New Roman" w:cs="Times New Roman" w:eastAsia="Times New Roman" w:hAnsi="Times New Roman"/>
                <w:sz w:val="18"/>
                <w:szCs w:val="18"/>
                <w:color w:val="auto"/>
              </w:rPr>
              <w:t>2,349,550</w:t>
            </w:r>
          </w:p>
        </w:tc>
        <w:tc>
          <w:tcPr>
            <w:tcW w:w="280" w:type="dxa"/>
            <w:vAlign w:val="bottom"/>
            <w:tcBorders>
              <w:bottom w:val="single" w:sz="8" w:color="DAEEF3"/>
            </w:tcBorders>
            <w:shd w:val="clear" w:color="auto" w:fill="DAEEF3"/>
          </w:tcPr>
          <w:p>
            <w:pPr>
              <w:spacing w:after="0"/>
              <w:rPr>
                <w:sz w:val="20"/>
                <w:szCs w:val="20"/>
                <w:color w:val="auto"/>
              </w:rPr>
            </w:pPr>
          </w:p>
        </w:tc>
        <w:tc>
          <w:tcPr>
            <w:tcW w:w="2640" w:type="dxa"/>
            <w:vAlign w:val="bottom"/>
            <w:tcBorders>
              <w:bottom w:val="single" w:sz="8" w:color="DAEEF3"/>
            </w:tcBorders>
            <w:shd w:val="clear" w:color="auto" w:fill="DAEEF3"/>
          </w:tcPr>
          <w:p>
            <w:pPr>
              <w:ind w:left="20"/>
              <w:spacing w:after="0"/>
              <w:rPr>
                <w:sz w:val="20"/>
                <w:szCs w:val="20"/>
                <w:color w:val="auto"/>
              </w:rPr>
            </w:pPr>
            <w:r>
              <w:rPr>
                <w:rFonts w:ascii="Times New Roman" w:cs="Times New Roman" w:eastAsia="Times New Roman" w:hAnsi="Times New Roman"/>
                <w:sz w:val="18"/>
                <w:szCs w:val="18"/>
                <w:color w:val="auto"/>
              </w:rPr>
              <w:t>3,158,543</w:t>
            </w:r>
          </w:p>
        </w:tc>
        <w:tc>
          <w:tcPr>
            <w:tcW w:w="260" w:type="dxa"/>
            <w:vAlign w:val="bottom"/>
            <w:tcBorders>
              <w:bottom w:val="single" w:sz="8" w:color="DAEEF3"/>
            </w:tcBorders>
            <w:shd w:val="clear" w:color="auto" w:fill="DAEEF3"/>
          </w:tcPr>
          <w:p>
            <w:pPr>
              <w:spacing w:after="0"/>
              <w:rPr>
                <w:sz w:val="20"/>
                <w:szCs w:val="20"/>
                <w:color w:val="auto"/>
              </w:rPr>
            </w:pPr>
          </w:p>
        </w:tc>
        <w:tc>
          <w:tcPr>
            <w:tcW w:w="2660" w:type="dxa"/>
            <w:vAlign w:val="bottom"/>
            <w:tcBorders>
              <w:bottom w:val="single" w:sz="8" w:color="DAEEF3"/>
            </w:tcBorders>
            <w:shd w:val="clear" w:color="auto" w:fill="DAEEF3"/>
          </w:tcPr>
          <w:p>
            <w:pPr>
              <w:ind w:left="20"/>
              <w:spacing w:after="0"/>
              <w:rPr>
                <w:sz w:val="20"/>
                <w:szCs w:val="20"/>
                <w:color w:val="auto"/>
              </w:rPr>
            </w:pPr>
            <w:r>
              <w:rPr>
                <w:rFonts w:ascii="Times New Roman" w:cs="Times New Roman" w:eastAsia="Times New Roman" w:hAnsi="Times New Roman"/>
                <w:sz w:val="18"/>
                <w:szCs w:val="18"/>
                <w:color w:val="auto"/>
              </w:rPr>
              <w:t>1,581,473</w:t>
            </w:r>
          </w:p>
        </w:tc>
      </w:tr>
      <w:tr>
        <w:trPr>
          <w:trHeight w:val="1465"/>
        </w:trPr>
        <w:tc>
          <w:tcPr>
            <w:tcW w:w="25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Date: May 19, 2026</w:t>
            </w:r>
          </w:p>
        </w:tc>
        <w:tc>
          <w:tcPr>
            <w:tcW w:w="720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KRYSTAL BIOTECH, INC.</w:t>
            </w:r>
          </w:p>
        </w:tc>
      </w:tr>
      <w:tr>
        <w:trPr>
          <w:trHeight w:val="499"/>
        </w:trPr>
        <w:tc>
          <w:tcPr>
            <w:tcW w:w="3920" w:type="dxa"/>
            <w:vAlign w:val="bottom"/>
          </w:tcPr>
          <w:p>
            <w:pPr>
              <w:spacing w:after="0"/>
              <w:rPr>
                <w:sz w:val="24"/>
                <w:szCs w:val="24"/>
                <w:color w:val="auto"/>
              </w:rPr>
            </w:pPr>
          </w:p>
        </w:tc>
        <w:tc>
          <w:tcPr>
            <w:tcW w:w="330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Krish S. Krishnan</w:t>
            </w:r>
          </w:p>
        </w:tc>
      </w:tr>
      <w:tr>
        <w:trPr>
          <w:trHeight w:val="218"/>
        </w:trPr>
        <w:tc>
          <w:tcPr>
            <w:tcW w:w="3920" w:type="dxa"/>
            <w:vAlign w:val="bottom"/>
          </w:tcPr>
          <w:p>
            <w:pPr>
              <w:spacing w:after="0"/>
              <w:rPr>
                <w:sz w:val="18"/>
                <w:szCs w:val="18"/>
                <w:color w:val="auto"/>
              </w:rPr>
            </w:pPr>
          </w:p>
        </w:tc>
        <w:tc>
          <w:tcPr>
            <w:tcW w:w="330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Name:</w:t>
            </w: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Krish S. Krishnan</w:t>
            </w:r>
          </w:p>
        </w:tc>
      </w:tr>
      <w:tr>
        <w:trPr>
          <w:trHeight w:val="234"/>
        </w:trPr>
        <w:tc>
          <w:tcPr>
            <w:tcW w:w="3920" w:type="dxa"/>
            <w:vAlign w:val="bottom"/>
          </w:tcPr>
          <w:p>
            <w:pPr>
              <w:spacing w:after="0"/>
              <w:rPr>
                <w:sz w:val="20"/>
                <w:szCs w:val="20"/>
                <w:color w:val="auto"/>
              </w:rPr>
            </w:pPr>
          </w:p>
        </w:tc>
        <w:tc>
          <w:tcPr>
            <w:tcW w:w="330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Title:</w:t>
            </w: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pacing w:after="0" w:line="1" w:lineRule="exact"/>
        <w:rPr>
          <w:sz w:val="20"/>
          <w:szCs w:val="20"/>
          <w:color w:val="auto"/>
        </w:rPr>
      </w:pPr>
    </w:p>
    <w:sectPr>
      <w:pgSz w:w="11900" w:h="16838" w:orient="portrait"/>
      <w:cols w:equalWidth="0" w:num="1">
        <w:col w:w="11200"/>
      </w:cols>
      <w:pgMar w:left="320" w:top="88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2026-05-20T05:12:30Z</dcterms:created>
  <dcterms:modified xsi:type="dcterms:W3CDTF">2026-05-20T05:12:30Z</dcterms:modified>
</cp:coreProperties>
</file>