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85210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8521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Krishnan Krish 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KRYSTAL BIOTECH,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2100 WHARTON STREET, SUITE 701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Krystal Biotech,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KRYS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07/14/2025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171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7000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10% Owner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PITTSBURGH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jc w:val="center"/>
              <w:ind w:left="385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07/14/2025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13,400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150.2996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1,512,529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07/15/2025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2,184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150.6817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(3)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1,510,345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07/15/2025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900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151.79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1,509,445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07/16/2025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1,389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150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(4)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1,508,056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90,000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Krishnan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Krishnan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Trust</w:t>
      </w:r>
      <w:r>
        <w:rPr>
          <w:rFonts w:ascii="Times New Roman" w:cs="Times New Roman" w:eastAsia="Times New Roman" w:hAnsi="Times New Roman"/>
          <w:sz w:val="22"/>
          <w:szCs w:val="22"/>
          <w:color w:val="008000"/>
          <w:vertAlign w:val="superscript"/>
        </w:rPr>
        <w:t>(5)</w:t>
      </w:r>
    </w:p>
    <w:p>
      <w:pPr>
        <w:spacing w:after="0" w:line="8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07/14/2025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jc w:val="center"/>
              <w:ind w:lef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13,335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(6)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150.2906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(7)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1,443,376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(8)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07/14/2025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100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89"/>
                <w:vertAlign w:val="superscript"/>
              </w:rPr>
              <w:t>(6)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lef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151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1,443,276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(8)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07/15/2025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jc w:val="center"/>
              <w:ind w:lef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2,236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(6)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150.6839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(9)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1,441,040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(8)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07/15/2025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800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89"/>
                <w:vertAlign w:val="superscript"/>
              </w:rPr>
              <w:t>(6)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151.79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1,440,240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(8)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07/16/2025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jc w:val="center"/>
              <w:ind w:lef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1,529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(6)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lef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150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1,438,711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(8)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0" w:type="dxa"/>
            <w:vAlign w:val="bottom"/>
            <w:gridSpan w:val="12"/>
          </w:tcPr>
          <w:p>
            <w:pPr>
              <w:jc w:val="right"/>
              <w:ind w:righ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8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right="300" w:firstLine="7"/>
        <w:spacing w:after="0" w:line="272" w:lineRule="auto"/>
        <w:tabs>
          <w:tab w:leader="none" w:pos="13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sales reported were pursuant to a Rule 10b5-1 trading plan adopted by the Reporting Person. The Rule 10b5-1 trading plan started on September 12, 2024, and contemplated quarterly sales of 25,000 shares of Common Stock. The Rule 10b5-1 trading plan has reached the maximum number of shares to be sold under such plan and has terminated.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7"/>
        <w:spacing w:after="0" w:line="272" w:lineRule="auto"/>
        <w:tabs>
          <w:tab w:leader="none" w:pos="13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 was executed in multiple trades ranging from $150.00 to $150.98. The price reported above reflects the weighted average sale price. The Reporting Person hereby undertakes to provide upon request to the SEC staff, the issuer, or a security holder of the issuer, full information regarding the number of shares sold at each separate price within the range set forth herein.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7"/>
        <w:spacing w:after="0" w:line="272" w:lineRule="auto"/>
        <w:tabs>
          <w:tab w:leader="none" w:pos="13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 was executed in multiple trades ranging from $150.21 to $151.00. The price reported above reflects the weighted average sale price. The Reporting Person hereby undertakes to provide upon request to the SEC staff, the issuer, or a security holder of the issuer, full information regarding the number of shares sold at each separate price within the range set forth herein.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33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 was executed in one trade.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33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Directly beneficially owned by the Krishnan Family Trust. The Reporting Person and his spouse are each joint beneficial owners of the trust with joint voting and investment control.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460" w:firstLine="7"/>
        <w:spacing w:after="0" w:line="272" w:lineRule="auto"/>
        <w:tabs>
          <w:tab w:leader="none" w:pos="13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sales reported were pursuant to a Rule 10b5-1 trading plan adopted by the Reporting Person's spouse, Suma M. Krishnan. The Rule 10b5-1 trading plan started on September 12, 2024, and contemplated quarterly sales of 25,000 shares of Common Stock. The Rule 10b5-1 trading plan has reached the maximum number of shares to be sold under such plan and has terminated.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7"/>
        <w:spacing w:after="0" w:line="272" w:lineRule="auto"/>
        <w:tabs>
          <w:tab w:leader="none" w:pos="13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 was executed in multiple trades ranging from $150.00 to $150.97. The price reported above reflects the weighted average sale price. The Reporting Person hereby undertakes to provide upon request to the SEC staff, the issuer, or a security holder of the issuer, full information regarding the number of shares sold at each separate price within the range set forth herein.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33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Directly beneficially owned by Suma M. Krishnan, the spouse of the Reporting Person.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7"/>
        <w:spacing w:after="0" w:line="272" w:lineRule="auto"/>
        <w:tabs>
          <w:tab w:leader="none" w:pos="13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 was executed in multiple trades ranging from $150.21 to $151.18. The price reported above reflects the weighted average sale price. The Reporting Person hereby undertakes to provide upon request to the SEC staff, the issuer, or a security holder of the issuer, full information regarding the number of shares sold at each separate price within the range set forth herein.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Krish S. Krishnan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07/16/2025</w:t>
            </w:r>
          </w:p>
        </w:tc>
      </w:tr>
      <w:tr>
        <w:trPr>
          <w:trHeight w:val="20"/>
        </w:trPr>
        <w:tc>
          <w:tcPr>
            <w:tcW w:w="1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3140" w:firstLine="7"/>
        <w:spacing w:after="0" w:line="320" w:lineRule="auto"/>
        <w:tabs>
          <w:tab w:leader="none" w:pos="14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840"/>
      </w:cols>
      <w:pgMar w:left="500" w:top="125" w:right="5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298709" TargetMode="External"/><Relationship Id="rId14" Type="http://schemas.openxmlformats.org/officeDocument/2006/relationships/hyperlink" Target="http://www.sec.gov/cgi-bin/browse-edgar?action=getcompany&amp;CIK=00017112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2025-07-16T17:43:15Z</dcterms:created>
  <dcterms:modified xsi:type="dcterms:W3CDTF">2025-07-16T17:43:15Z</dcterms:modified>
</cp:coreProperties>
</file>