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Krystal 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501147102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740" w:hanging="8"/>
        <w:spacing w:after="0" w:line="227" w:lineRule="exact"/>
        <w:tabs>
          <w:tab w:leader="none" w:pos="66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63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501147102</w:t>
            </w:r>
          </w:p>
        </w:tc>
        <w:tc>
          <w:tcPr>
            <w:tcW w:w="5060" w:type="dxa"/>
            <w:vAlign w:val="bottom"/>
          </w:tcPr>
          <w:p>
            <w:pPr>
              <w:ind w:left="4680"/>
              <w:spacing w:after="0"/>
              <w:rPr>
                <w:sz w:val="20"/>
                <w:szCs w:val="20"/>
                <w:color w:val="auto"/>
              </w:rPr>
            </w:pPr>
            <w:r>
              <w:rPr>
                <w:rFonts w:ascii="Arial" w:cs="Arial" w:eastAsia="Arial" w:hAnsi="Arial"/>
                <w:sz w:val="22"/>
                <w:szCs w:val="22"/>
                <w:b w:val="1"/>
                <w:bCs w:val="1"/>
                <w:color w:val="auto"/>
                <w:w w:val="86"/>
              </w:rPr>
              <w:t>13G</w:t>
            </w:r>
          </w:p>
        </w:tc>
      </w:tr>
    </w:tbl>
    <w:p>
      <w:pPr>
        <w:spacing w:after="0" w:line="192" w:lineRule="exact"/>
        <w:rPr>
          <w:sz w:val="20"/>
          <w:szCs w:val="20"/>
          <w:color w:val="auto"/>
        </w:rPr>
      </w:pPr>
    </w:p>
    <w:p>
      <w:pPr>
        <w:ind w:left="1280" w:hanging="813"/>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b w:val="1"/>
          <w:bCs w:val="1"/>
          <w:color w:val="auto"/>
        </w:rPr>
        <w:t>RA Capital Management, LLC</w:t>
      </w:r>
    </w:p>
    <w:p>
      <w:pPr>
        <w:spacing w:after="0" w:line="210" w:lineRule="exact"/>
        <w:rPr>
          <w:rFonts w:ascii="Arial" w:cs="Arial" w:eastAsia="Arial" w:hAnsi="Arial"/>
          <w:sz w:val="18"/>
          <w:szCs w:val="18"/>
          <w:color w:val="auto"/>
        </w:rPr>
      </w:pPr>
    </w:p>
    <w:p>
      <w:pPr>
        <w:ind w:left="1280" w:hanging="813"/>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82"/>
        <w:spacing w:after="0" w:line="207" w:lineRule="exact"/>
        <w:tabs>
          <w:tab w:leader="none" w:pos="19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60" w:hanging="682"/>
        <w:spacing w:after="0" w:line="207" w:lineRule="exact"/>
        <w:tabs>
          <w:tab w:leader="none" w:pos="19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1280" w:hanging="813"/>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c>
          <w:tcPr>
            <w:tcW w:w="1140" w:type="dxa"/>
            <w:vAlign w:val="bottom"/>
          </w:tcPr>
          <w:p>
            <w:pPr>
              <w:ind w:left="20"/>
              <w:spacing w:after="0"/>
              <w:rPr>
                <w:sz w:val="20"/>
                <w:szCs w:val="20"/>
                <w:color w:val="auto"/>
              </w:rPr>
            </w:pPr>
            <w:r>
              <w:rPr>
                <w:rFonts w:ascii="Arial" w:cs="Arial" w:eastAsia="Arial" w:hAnsi="Arial"/>
                <w:sz w:val="18"/>
                <w:szCs w:val="18"/>
                <w:b w:val="1"/>
                <w:bCs w:val="1"/>
                <w:color w:val="auto"/>
                <w:w w:val="85"/>
              </w:rPr>
              <w:t>Massachusetts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8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11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1860" w:type="dxa"/>
            <w:vAlign w:val="bottom"/>
            <w:vMerge w:val="restart"/>
          </w:tcPr>
          <w:p>
            <w:pPr>
              <w:ind w:left="160"/>
              <w:spacing w:after="0"/>
              <w:rPr>
                <w:sz w:val="20"/>
                <w:szCs w:val="20"/>
                <w:color w:val="auto"/>
              </w:rPr>
            </w:pPr>
            <w:r>
              <w:rPr>
                <w:rFonts w:ascii="Arial" w:cs="Arial" w:eastAsia="Arial" w:hAnsi="Arial"/>
                <w:sz w:val="18"/>
                <w:szCs w:val="18"/>
                <w:color w:val="auto"/>
                <w:w w:val="98"/>
              </w:rPr>
              <w:t>Shared Voting Power</w:t>
            </w:r>
          </w:p>
        </w:tc>
        <w:tc>
          <w:tcPr>
            <w:tcW w:w="1140" w:type="dxa"/>
            <w:vAlign w:val="bottom"/>
          </w:tcPr>
          <w:p>
            <w:pPr>
              <w:spacing w:after="0"/>
              <w:rPr>
                <w:sz w:val="18"/>
                <w:szCs w:val="18"/>
                <w:color w:val="auto"/>
              </w:rPr>
            </w:pPr>
          </w:p>
        </w:tc>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w w:val="85"/>
              </w:rPr>
              <w:t>700,000 shares</w:t>
            </w:r>
          </w:p>
        </w:tc>
        <w:tc>
          <w:tcPr>
            <w:tcW w:w="0" w:type="dxa"/>
            <w:vAlign w:val="bottom"/>
          </w:tcPr>
          <w:p>
            <w:pPr>
              <w:spacing w:after="0"/>
              <w:rPr>
                <w:sz w:val="1"/>
                <w:szCs w:val="1"/>
                <w:color w:val="auto"/>
              </w:rPr>
            </w:pPr>
          </w:p>
        </w:tc>
      </w:tr>
      <w:tr>
        <w:trPr>
          <w:trHeight w:val="122"/>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18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1860" w:type="dxa"/>
            <w:vAlign w:val="bottom"/>
            <w:vMerge w:val="restart"/>
          </w:tcPr>
          <w:p>
            <w:pPr>
              <w:ind w:left="160"/>
              <w:spacing w:after="0"/>
              <w:rPr>
                <w:sz w:val="20"/>
                <w:szCs w:val="20"/>
                <w:color w:val="auto"/>
              </w:rPr>
            </w:pPr>
            <w:r>
              <w:rPr>
                <w:rFonts w:ascii="Arial" w:cs="Arial" w:eastAsia="Arial" w:hAnsi="Arial"/>
                <w:sz w:val="18"/>
                <w:szCs w:val="18"/>
                <w:color w:val="auto"/>
                <w:w w:val="91"/>
              </w:rPr>
              <w:t>Sole Dispositive Power</w:t>
            </w:r>
          </w:p>
        </w:tc>
        <w:tc>
          <w:tcPr>
            <w:tcW w:w="1140" w:type="dxa"/>
            <w:vAlign w:val="bottom"/>
          </w:tcPr>
          <w:p>
            <w:pPr>
              <w:spacing w:after="0"/>
              <w:rPr>
                <w:sz w:val="18"/>
                <w:szCs w:val="18"/>
                <w:color w:val="auto"/>
              </w:rPr>
            </w:pPr>
          </w:p>
        </w:tc>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22"/>
        </w:trPr>
        <w:tc>
          <w:tcPr>
            <w:tcW w:w="1200" w:type="dxa"/>
            <w:vAlign w:val="bottom"/>
            <w:vMerge w:val="restart"/>
          </w:tcPr>
          <w:p>
            <w:pPr>
              <w:spacing w:after="0"/>
              <w:rPr>
                <w:sz w:val="20"/>
                <w:szCs w:val="20"/>
                <w:color w:val="auto"/>
              </w:rPr>
            </w:pPr>
            <w:r>
              <w:rPr>
                <w:rFonts w:ascii="Arial" w:cs="Arial" w:eastAsia="Arial" w:hAnsi="Arial"/>
                <w:sz w:val="18"/>
                <w:szCs w:val="18"/>
                <w:color w:val="auto"/>
                <w:w w:val="95"/>
              </w:rPr>
              <w:t>Each Reporting</w:t>
            </w:r>
          </w:p>
        </w:tc>
        <w:tc>
          <w:tcPr>
            <w:tcW w:w="118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Person With</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300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w w:val="85"/>
              </w:rPr>
              <w:t>700,000 shares</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hanging="79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700,000 shares</w:t>
      </w:r>
    </w:p>
    <w:p>
      <w:pPr>
        <w:spacing w:after="0" w:line="197" w:lineRule="exact"/>
        <w:rPr>
          <w:sz w:val="20"/>
          <w:szCs w:val="20"/>
          <w:color w:val="auto"/>
        </w:rPr>
      </w:pPr>
    </w:p>
    <w:p>
      <w:pPr>
        <w:ind w:left="460"/>
        <w:spacing w:after="0" w:line="207" w:lineRule="exact"/>
        <w:tabs>
          <w:tab w:leader="none" w:pos="1240" w:val="left"/>
          <w:tab w:leader="none" w:pos="112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left="1260" w:hanging="79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b w:val="1"/>
          <w:bCs w:val="1"/>
          <w:color w:val="auto"/>
        </w:rPr>
        <w:t>6.8%</w:t>
      </w:r>
      <w:r>
        <w:rPr>
          <w:rFonts w:ascii="Arial" w:cs="Arial" w:eastAsia="Arial" w:hAnsi="Arial"/>
          <w:sz w:val="30"/>
          <w:szCs w:val="30"/>
          <w:b w:val="1"/>
          <w:bCs w:val="1"/>
          <w:color w:val="auto"/>
          <w:vertAlign w:val="superscript"/>
        </w:rPr>
        <w:t>1</w:t>
      </w:r>
    </w:p>
    <w:p>
      <w:pPr>
        <w:spacing w:after="0" w:line="113" w:lineRule="exact"/>
        <w:rPr>
          <w:rFonts w:ascii="Arial" w:cs="Arial" w:eastAsia="Arial" w:hAnsi="Arial"/>
          <w:sz w:val="18"/>
          <w:szCs w:val="18"/>
          <w:color w:val="auto"/>
        </w:rPr>
      </w:pPr>
    </w:p>
    <w:p>
      <w:pPr>
        <w:ind w:left="1260" w:hanging="79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6" w:lineRule="exact"/>
        <w:rPr>
          <w:sz w:val="20"/>
          <w:szCs w:val="20"/>
          <w:color w:val="auto"/>
        </w:rPr>
      </w:pPr>
    </w:p>
    <w:p>
      <w:pPr>
        <w:ind w:firstLine="8"/>
        <w:spacing w:after="0" w:line="198" w:lineRule="auto"/>
        <w:tabs>
          <w:tab w:leader="none" w:pos="119"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The percentage calculation assumes that there are currently 10,237,247 outstanding shares of Common Stock of the Issuer, based on the Issuer’s Form 10-Q as filed with the Securities and Exchange Commission (“SEC”) on November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63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501147102</w:t>
            </w:r>
          </w:p>
        </w:tc>
        <w:tc>
          <w:tcPr>
            <w:tcW w:w="5060" w:type="dxa"/>
            <w:vAlign w:val="bottom"/>
          </w:tcPr>
          <w:p>
            <w:pPr>
              <w:ind w:left="4680"/>
              <w:spacing w:after="0"/>
              <w:rPr>
                <w:sz w:val="20"/>
                <w:szCs w:val="20"/>
                <w:color w:val="auto"/>
              </w:rPr>
            </w:pPr>
            <w:r>
              <w:rPr>
                <w:rFonts w:ascii="Arial" w:cs="Arial" w:eastAsia="Arial" w:hAnsi="Arial"/>
                <w:sz w:val="22"/>
                <w:szCs w:val="22"/>
                <w:b w:val="1"/>
                <w:bCs w:val="1"/>
                <w:color w:val="auto"/>
                <w:w w:val="86"/>
              </w:rPr>
              <w:t>13G</w:t>
            </w:r>
          </w:p>
        </w:tc>
      </w:tr>
    </w:tbl>
    <w:p>
      <w:pPr>
        <w:spacing w:after="0" w:line="192" w:lineRule="exact"/>
        <w:rPr>
          <w:sz w:val="20"/>
          <w:szCs w:val="20"/>
          <w:color w:val="auto"/>
        </w:rPr>
      </w:pPr>
    </w:p>
    <w:p>
      <w:pPr>
        <w:ind w:left="1280" w:hanging="81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b w:val="1"/>
          <w:bCs w:val="1"/>
          <w:color w:val="auto"/>
        </w:rPr>
        <w:t>Peter Kolchinsky</w:t>
      </w:r>
    </w:p>
    <w:p>
      <w:pPr>
        <w:spacing w:after="0" w:line="210" w:lineRule="exact"/>
        <w:rPr>
          <w:rFonts w:ascii="Arial" w:cs="Arial" w:eastAsia="Arial" w:hAnsi="Arial"/>
          <w:sz w:val="18"/>
          <w:szCs w:val="18"/>
          <w:color w:val="auto"/>
        </w:rPr>
      </w:pPr>
    </w:p>
    <w:p>
      <w:pPr>
        <w:ind w:left="1280" w:hanging="81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82"/>
        <w:spacing w:after="0" w:line="207" w:lineRule="exact"/>
        <w:tabs>
          <w:tab w:leader="none" w:pos="19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60" w:hanging="682"/>
        <w:spacing w:after="0" w:line="207" w:lineRule="exact"/>
        <w:tabs>
          <w:tab w:leader="none" w:pos="19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1280" w:hanging="813"/>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w w:val="92"/>
              </w:rPr>
              <w:t>United States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8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1860" w:type="dxa"/>
            <w:vAlign w:val="bottom"/>
            <w:vMerge w:val="restart"/>
          </w:tcPr>
          <w:p>
            <w:pPr>
              <w:ind w:left="160"/>
              <w:spacing w:after="0"/>
              <w:rPr>
                <w:sz w:val="20"/>
                <w:szCs w:val="20"/>
                <w:color w:val="auto"/>
              </w:rPr>
            </w:pPr>
            <w:r>
              <w:rPr>
                <w:rFonts w:ascii="Arial" w:cs="Arial" w:eastAsia="Arial" w:hAnsi="Arial"/>
                <w:sz w:val="18"/>
                <w:szCs w:val="18"/>
                <w:color w:val="auto"/>
                <w:w w:val="98"/>
              </w:rPr>
              <w:t>Shared Voting Power</w:t>
            </w:r>
          </w:p>
        </w:tc>
        <w:tc>
          <w:tcPr>
            <w:tcW w:w="110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85"/>
              </w:rPr>
              <w:t>700,000 shares</w:t>
            </w:r>
          </w:p>
        </w:tc>
        <w:tc>
          <w:tcPr>
            <w:tcW w:w="0" w:type="dxa"/>
            <w:vAlign w:val="bottom"/>
          </w:tcPr>
          <w:p>
            <w:pPr>
              <w:spacing w:after="0"/>
              <w:rPr>
                <w:sz w:val="1"/>
                <w:szCs w:val="1"/>
                <w:color w:val="auto"/>
              </w:rPr>
            </w:pPr>
          </w:p>
        </w:tc>
      </w:tr>
      <w:tr>
        <w:trPr>
          <w:trHeight w:val="122"/>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18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1860" w:type="dxa"/>
            <w:vAlign w:val="bottom"/>
            <w:vMerge w:val="restart"/>
          </w:tcPr>
          <w:p>
            <w:pPr>
              <w:ind w:left="160"/>
              <w:spacing w:after="0"/>
              <w:rPr>
                <w:sz w:val="20"/>
                <w:szCs w:val="20"/>
                <w:color w:val="auto"/>
              </w:rPr>
            </w:pPr>
            <w:r>
              <w:rPr>
                <w:rFonts w:ascii="Arial" w:cs="Arial" w:eastAsia="Arial" w:hAnsi="Arial"/>
                <w:sz w:val="18"/>
                <w:szCs w:val="18"/>
                <w:color w:val="auto"/>
                <w:w w:val="91"/>
              </w:rPr>
              <w:t>Sole Dispositive Power</w:t>
            </w:r>
          </w:p>
        </w:tc>
        <w:tc>
          <w:tcPr>
            <w:tcW w:w="110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22"/>
        </w:trPr>
        <w:tc>
          <w:tcPr>
            <w:tcW w:w="1200" w:type="dxa"/>
            <w:vAlign w:val="bottom"/>
            <w:vMerge w:val="restart"/>
          </w:tcPr>
          <w:p>
            <w:pPr>
              <w:spacing w:after="0"/>
              <w:rPr>
                <w:sz w:val="20"/>
                <w:szCs w:val="20"/>
                <w:color w:val="auto"/>
              </w:rPr>
            </w:pPr>
            <w:r>
              <w:rPr>
                <w:rFonts w:ascii="Arial" w:cs="Arial" w:eastAsia="Arial" w:hAnsi="Arial"/>
                <w:sz w:val="18"/>
                <w:szCs w:val="18"/>
                <w:color w:val="auto"/>
                <w:w w:val="95"/>
              </w:rPr>
              <w:t>Each Reporting</w:t>
            </w:r>
          </w:p>
        </w:tc>
        <w:tc>
          <w:tcPr>
            <w:tcW w:w="118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Person With</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296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11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85"/>
              </w:rPr>
              <w:t>700,000 shares</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hanging="793"/>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b w:val="1"/>
          <w:bCs w:val="1"/>
          <w:color w:val="auto"/>
        </w:rPr>
        <w:t>700,000 shares</w:t>
      </w:r>
    </w:p>
    <w:p>
      <w:pPr>
        <w:spacing w:after="0" w:line="197" w:lineRule="exact"/>
        <w:rPr>
          <w:sz w:val="20"/>
          <w:szCs w:val="20"/>
          <w:color w:val="auto"/>
        </w:rPr>
      </w:pPr>
    </w:p>
    <w:p>
      <w:pPr>
        <w:ind w:left="460"/>
        <w:spacing w:after="0" w:line="207" w:lineRule="exact"/>
        <w:tabs>
          <w:tab w:leader="none" w:pos="1240" w:val="left"/>
          <w:tab w:leader="none" w:pos="112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left="1260" w:hanging="79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b w:val="1"/>
          <w:bCs w:val="1"/>
          <w:color w:val="auto"/>
        </w:rPr>
        <w:t>6.8%</w:t>
      </w:r>
      <w:r>
        <w:rPr>
          <w:rFonts w:ascii="Arial" w:cs="Arial" w:eastAsia="Arial" w:hAnsi="Arial"/>
          <w:sz w:val="30"/>
          <w:szCs w:val="30"/>
          <w:b w:val="1"/>
          <w:bCs w:val="1"/>
          <w:color w:val="auto"/>
          <w:vertAlign w:val="superscript"/>
        </w:rPr>
        <w:t>1</w:t>
      </w:r>
    </w:p>
    <w:p>
      <w:pPr>
        <w:spacing w:after="0" w:line="113" w:lineRule="exact"/>
        <w:rPr>
          <w:rFonts w:ascii="Arial" w:cs="Arial" w:eastAsia="Arial" w:hAnsi="Arial"/>
          <w:sz w:val="18"/>
          <w:szCs w:val="18"/>
          <w:color w:val="auto"/>
        </w:rPr>
      </w:pPr>
    </w:p>
    <w:p>
      <w:pPr>
        <w:ind w:left="1260" w:hanging="79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6" w:lineRule="exact"/>
        <w:rPr>
          <w:sz w:val="20"/>
          <w:szCs w:val="20"/>
          <w:color w:val="auto"/>
        </w:rPr>
      </w:pPr>
    </w:p>
    <w:p>
      <w:pPr>
        <w:ind w:firstLine="8"/>
        <w:spacing w:after="0" w:line="194" w:lineRule="auto"/>
        <w:tabs>
          <w:tab w:leader="none" w:pos="122"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percentage calculation assumes that there are currently 10,237,247 outstanding shares of Common Stock of the Issuer, based on the Issuer’s Form 10-Q as filed with the Securities and Exchange Commission (“SEC”) on November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63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501147102</w:t>
            </w:r>
          </w:p>
        </w:tc>
        <w:tc>
          <w:tcPr>
            <w:tcW w:w="5060" w:type="dxa"/>
            <w:vAlign w:val="bottom"/>
          </w:tcPr>
          <w:p>
            <w:pPr>
              <w:ind w:left="4680"/>
              <w:spacing w:after="0"/>
              <w:rPr>
                <w:sz w:val="20"/>
                <w:szCs w:val="20"/>
                <w:color w:val="auto"/>
              </w:rPr>
            </w:pPr>
            <w:r>
              <w:rPr>
                <w:rFonts w:ascii="Arial" w:cs="Arial" w:eastAsia="Arial" w:hAnsi="Arial"/>
                <w:sz w:val="22"/>
                <w:szCs w:val="22"/>
                <w:b w:val="1"/>
                <w:bCs w:val="1"/>
                <w:color w:val="auto"/>
                <w:w w:val="86"/>
              </w:rPr>
              <w:t>13G</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Krystal Biotech, Inc. (the “Issuer”).</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Address of the Issuer’s Principal Executive Offices: </w:t>
      </w:r>
      <w:r>
        <w:rPr>
          <w:rFonts w:ascii="Arial" w:cs="Arial" w:eastAsia="Arial" w:hAnsi="Arial"/>
          <w:sz w:val="18"/>
          <w:szCs w:val="18"/>
          <w:color w:val="auto"/>
        </w:rPr>
        <w:t>2100 Wharton Street, Suite 701, Pittsburgh, Pennsylvania 15203.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both"/>
        <w:ind w:firstLine="8"/>
        <w:spacing w:after="0" w:line="290" w:lineRule="auto"/>
        <w:tabs>
          <w:tab w:leader="none" w:pos="60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This joint statement on Schedule 13G is being filed by RA Capital Management, LLC (“Capital”) and Peter Kolchinsky.</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and Mr. Kolchinsky are collectively referred to herein as the “Reporting Persons.” Capital is the general partner of the RA Capital Healthcare Fund, L.P. (the “Fund”), which owns 553,220 shares of the Issuer’s Common Stock, and serves as investment adviser for a separately managed account (the “Account”), which owns 146,780 shares of the Issuer’s Common Stock. Mr. Kolchinsky is the manager of Capital. As the investment adviser to the Fund and the Account, Capital may be deemed a beneficial owner, for purposes of Section 13(d) of the Securities Exchange Act of 1934 (the “Act”), of any securities of the Issuer owned by the Fund or the Account. As the manager of Capital, Mr. Kolchinsky may be deemed a beneficial owner, for purposes of Section 13(d) of the Act, of any securities of the Issuer beneficially owned by Capital. Capital and Mr. Kolchinsky disclaim beneficial ownership of the securities reported in this Schedule 13G Statement (the “Statement”) other than for the purpose of determining their obligations under Section 13(d) of the Act, and the filing of the Statement shall not be deemed an admission that either Capital or Mr. Kolchinsky is or was the beneficial owner of such securities for any other purpose.</w:t>
      </w:r>
    </w:p>
    <w:p>
      <w:pPr>
        <w:spacing w:after="0" w:line="159" w:lineRule="exact"/>
        <w:rPr>
          <w:rFonts w:ascii="Arial" w:cs="Arial" w:eastAsia="Arial" w:hAnsi="Arial"/>
          <w:sz w:val="16"/>
          <w:szCs w:val="16"/>
          <w:color w:val="auto"/>
        </w:rPr>
      </w:pPr>
    </w:p>
    <w:p>
      <w:pPr>
        <w:ind w:firstLine="8"/>
        <w:spacing w:after="0" w:line="282" w:lineRule="auto"/>
        <w:tabs>
          <w:tab w:leader="none" w:pos="579"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LLC, 20 Park Plaza,</w:t>
      </w:r>
      <w:r>
        <w:rPr>
          <w:rFonts w:ascii="Arial" w:cs="Arial" w:eastAsia="Arial" w:hAnsi="Arial"/>
          <w:sz w:val="18"/>
          <w:szCs w:val="18"/>
          <w:b w:val="1"/>
          <w:bCs w:val="1"/>
          <w:color w:val="auto"/>
        </w:rPr>
        <w:t xml:space="preserve"> </w:t>
      </w:r>
      <w:r>
        <w:rPr>
          <w:rFonts w:ascii="Arial" w:cs="Arial" w:eastAsia="Arial" w:hAnsi="Arial"/>
          <w:sz w:val="18"/>
          <w:szCs w:val="18"/>
          <w:color w:val="auto"/>
        </w:rPr>
        <w:t>Suite 1200, Boston, MA 02116.</w:t>
      </w:r>
    </w:p>
    <w:p>
      <w:pPr>
        <w:spacing w:after="0" w:line="161"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Capital is a Massachusetts limited liability company. Mr. Kolchinsky is a United States citizen.</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(“Common Stock”)</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501147102</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 Capital Management LLC is a registered investment adviser and is filing this statement in accordance with §240.13d-1(b)(1)(ii)(E);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Peter Kolchinsky is a control person and is filing this statement in accordance with §240.13d-1(b)(1)(ii)(G).</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63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501147102</w:t>
            </w:r>
          </w:p>
        </w:tc>
        <w:tc>
          <w:tcPr>
            <w:tcW w:w="5060" w:type="dxa"/>
            <w:vAlign w:val="bottom"/>
          </w:tcPr>
          <w:p>
            <w:pPr>
              <w:ind w:left="4680"/>
              <w:spacing w:after="0"/>
              <w:rPr>
                <w:sz w:val="20"/>
                <w:szCs w:val="20"/>
                <w:color w:val="auto"/>
              </w:rPr>
            </w:pPr>
            <w:r>
              <w:rPr>
                <w:rFonts w:ascii="Arial" w:cs="Arial" w:eastAsia="Arial" w:hAnsi="Arial"/>
                <w:sz w:val="22"/>
                <w:szCs w:val="22"/>
                <w:b w:val="1"/>
                <w:bCs w:val="1"/>
                <w:color w:val="auto"/>
                <w:w w:val="86"/>
              </w:rPr>
              <w:t>13G</w:t>
            </w:r>
          </w:p>
        </w:tc>
      </w:tr>
    </w:tbl>
    <w:p>
      <w:pPr>
        <w:spacing w:after="0" w:line="192"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10"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Control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hereby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63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501147102</w:t>
            </w:r>
          </w:p>
        </w:tc>
        <w:tc>
          <w:tcPr>
            <w:tcW w:w="5060" w:type="dxa"/>
            <w:vAlign w:val="bottom"/>
          </w:tcPr>
          <w:p>
            <w:pPr>
              <w:ind w:left="4680"/>
              <w:spacing w:after="0"/>
              <w:rPr>
                <w:sz w:val="20"/>
                <w:szCs w:val="20"/>
                <w:color w:val="auto"/>
              </w:rPr>
            </w:pPr>
            <w:r>
              <w:rPr>
                <w:rFonts w:ascii="Arial" w:cs="Arial" w:eastAsia="Arial" w:hAnsi="Arial"/>
                <w:sz w:val="22"/>
                <w:szCs w:val="22"/>
                <w:b w:val="1"/>
                <w:bCs w:val="1"/>
                <w:color w:val="auto"/>
                <w:w w:val="86"/>
              </w:rPr>
              <w:t>13G</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14,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Peter Kolchinsky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63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501147102</w:t>
            </w:r>
          </w:p>
        </w:tc>
        <w:tc>
          <w:tcPr>
            <w:tcW w:w="5060" w:type="dxa"/>
            <w:vAlign w:val="bottom"/>
          </w:tcPr>
          <w:p>
            <w:pPr>
              <w:ind w:left="4680"/>
              <w:spacing w:after="0"/>
              <w:rPr>
                <w:sz w:val="20"/>
                <w:szCs w:val="20"/>
                <w:color w:val="auto"/>
              </w:rPr>
            </w:pPr>
            <w:r>
              <w:rPr>
                <w:rFonts w:ascii="Arial" w:cs="Arial" w:eastAsia="Arial" w:hAnsi="Arial"/>
                <w:sz w:val="22"/>
                <w:szCs w:val="22"/>
                <w:b w:val="1"/>
                <w:bCs w:val="1"/>
                <w:color w:val="auto"/>
                <w:w w:val="86"/>
              </w:rPr>
              <w:t>13G</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Joint Filing Agreement, dated as of February 14, 2018, is by and among RA Capital Management, LLC and Peter Kolchinsky (the foregoing are collectively referred to herein as the “Filers”).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13G and/or 13D with respect to Common Stock, par value $0.00001 per share, of Krystal Biotech, Inc. beneficially owned by them from time to time.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Peter Kolchinsky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9"/>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1."/>
      <w:numFmt w:val="decimal"/>
      <w:start w:val="1"/>
    </w:lvl>
    <w:lvl w:ilvl="1">
      <w:lvlJc w:val="left"/>
      <w:lvlText w:val="(%2)"/>
      <w:numFmt w:val="lowerLetter"/>
      <w:start w:val="1"/>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5"/>
    </w:lvl>
  </w:abstractNum>
  <w:abstractNum w:abstractNumId="12">
    <w:nsid w:val="109CF92E"/>
    <w:multiLevelType w:val="hybridMultilevel"/>
    <w:lvl w:ilvl="0">
      <w:lvlJc w:val="left"/>
      <w:lvlText w:val="(%1)"/>
      <w:numFmt w:val="lowerLetter"/>
      <w:start w:val="7"/>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2019-12-17T07:24:56Z</dcterms:created>
  <dcterms:modified xsi:type="dcterms:W3CDTF">2019-12-17T07:24:56Z</dcterms:modified>
</cp:coreProperties>
</file>