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603333.xml.htm"/>
      <w:bookmarkStart w:id="1" w:name="kswkform4_178960333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Mazzacco Catherine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KRYSTAL BIOTECH,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2100 WHARTON STREET, SUITE 701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PITTSBURGH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Krystal Biotech, Inc.</w:t>
              </w:r>
            </w:hyperlink>
            <w:r>
              <w:rPr/>
              <w:t xml:space="preserve"> [ </w:t>
            </w:r>
            <w:r>
              <w:rPr>
                <w:rFonts w:ascii="Times;serif" w:hAnsi="Times;serif"/>
                <w:color w:val="0000FF"/>
                <w:sz w:val="24"/>
                <w:shd w:fill="FFFFFF" w:val="clear"/>
              </w:rPr>
              <w:t>KRYS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340.03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1,187</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09/13/2036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1,187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471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471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stock options vest in full on September 14, 2027, subject to continued service on the Company's Board of Directors through such date and to earlier vesting in certain circumstances described in the Company's Non-Employee Director Compensation Policy as in effect on the date of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("RSU") represents a contingent right to receive one share of the Company's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vest in full on September 14, 2027, subject to continued service on the Company's Board of Directors through such date and to earlier vesting in certain circumstances described in the Company's Non-Employee Director Compensation Policy as in effect on the date of grant.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Krish Krishnan, as attorney-in-fact for Catherine Mazzacco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67722" TargetMode="External"/><Relationship Id="rId5" Type="http://schemas.openxmlformats.org/officeDocument/2006/relationships/hyperlink" Target="http://www.sec.gov/cgi-bin/browse-edgar?action=getcompany&amp;CIK=00017112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704</Words>
  <Characters>3804</Characters>
  <CharactersWithSpaces>4422</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