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15, 2017</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Attn: Christine Westbrook</w:t>
      </w:r>
    </w:p>
    <w:p>
      <w:pPr>
        <w:spacing w:after="0" w:line="370"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Krystal Biotech,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333-220085</w:t>
      </w:r>
    </w:p>
    <w:p>
      <w:pPr>
        <w:sectPr>
          <w:pgSz w:w="11900" w:h="16838" w:orient="portrait"/>
          <w:cols w:equalWidth="0" w:num="1">
            <w:col w:w="11360"/>
          </w:cols>
          <w:pgMar w:left="240" w:top="233" w:right="299" w:bottom="1440" w:gutter="0" w:footer="0" w:header="0"/>
        </w:sectPr>
      </w:pPr>
    </w:p>
    <w:p>
      <w:pPr>
        <w:spacing w:after="0" w:line="207" w:lineRule="exact"/>
        <w:rPr>
          <w:sz w:val="24"/>
          <w:szCs w:val="24"/>
          <w:color w:val="auto"/>
        </w:rPr>
      </w:pPr>
    </w:p>
    <w:p>
      <w:pPr>
        <w:jc w:val="both"/>
        <w:ind w:left="920" w:hanging="447"/>
        <w:spacing w:after="0" w:line="314" w:lineRule="auto"/>
        <w:rPr>
          <w:sz w:val="20"/>
          <w:szCs w:val="20"/>
          <w:color w:val="auto"/>
        </w:rPr>
      </w:pPr>
      <w:r>
        <w:rPr>
          <w:rFonts w:ascii="Arial" w:cs="Arial" w:eastAsia="Arial" w:hAnsi="Arial"/>
          <w:sz w:val="16"/>
          <w:szCs w:val="16"/>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Tuesday, September 19, 2017</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4:30 p.m., Eastern Daylight Time</w:t>
      </w:r>
    </w:p>
    <w:p>
      <w:pPr>
        <w:spacing w:after="0" w:line="287" w:lineRule="exact"/>
        <w:rPr>
          <w:sz w:val="24"/>
          <w:szCs w:val="24"/>
          <w:color w:val="auto"/>
        </w:rPr>
      </w:pPr>
    </w:p>
    <w:p>
      <w:pPr>
        <w:sectPr>
          <w:pgSz w:w="11900" w:h="16838" w:orient="portrait"/>
          <w:cols w:equalWidth="0" w:num="2">
            <w:col w:w="2220" w:space="520"/>
            <w:col w:w="8620"/>
          </w:cols>
          <w:pgMar w:left="240" w:top="233" w:right="29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accordance with Rule 461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Ladenburg Thalmann &amp; Co. Inc. hereby joins Krystal Biotech, Inc. in requesting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cause the Registration Statement on Form S-1 (File No. 333-220085) to become effective on September 19, 2017, at 4:30 p.m., Eastern Daylight Time, or as soon as practicable thereafter.</w:t>
      </w:r>
    </w:p>
    <w:p>
      <w:pPr>
        <w:spacing w:after="0" w:line="147" w:lineRule="exact"/>
        <w:rPr>
          <w:sz w:val="24"/>
          <w:szCs w:val="24"/>
          <w:color w:val="auto"/>
        </w:rPr>
      </w:pPr>
    </w:p>
    <w:p>
      <w:pPr>
        <w:ind w:right="100" w:firstLine="456"/>
        <w:spacing w:after="0" w:line="277" w:lineRule="auto"/>
        <w:rPr>
          <w:sz w:val="20"/>
          <w:szCs w:val="20"/>
          <w:color w:val="auto"/>
        </w:rPr>
      </w:pPr>
      <w:r>
        <w:rPr>
          <w:rFonts w:ascii="Arial" w:cs="Arial" w:eastAsia="Arial" w:hAnsi="Arial"/>
          <w:sz w:val="18"/>
          <w:szCs w:val="18"/>
          <w:color w:val="auto"/>
        </w:rPr>
        <w:t>Additionally, pursuant to Rule 460 of the Act, we hereby advise you that approximately 300 copies of the Preliminary Prospectus, dated September 7, 2017, were distributed by us from September 11, 2017 through the date hereof to underwriters, institutions, dealers and others.</w:t>
      </w:r>
    </w:p>
    <w:p>
      <w:pPr>
        <w:spacing w:after="0" w:line="170" w:lineRule="exact"/>
        <w:rPr>
          <w:sz w:val="24"/>
          <w:szCs w:val="24"/>
          <w:color w:val="auto"/>
        </w:rPr>
      </w:pPr>
    </w:p>
    <w:p>
      <w:pPr>
        <w:ind w:right="460" w:firstLine="456"/>
        <w:spacing w:after="0" w:line="277" w:lineRule="auto"/>
        <w:rPr>
          <w:sz w:val="20"/>
          <w:szCs w:val="20"/>
          <w:color w:val="auto"/>
        </w:rPr>
      </w:pPr>
      <w:r>
        <w:rPr>
          <w:rFonts w:ascii="Arial" w:cs="Arial" w:eastAsia="Arial" w:hAnsi="Arial"/>
          <w:sz w:val="18"/>
          <w:szCs w:val="18"/>
          <w:color w:val="auto"/>
        </w:rPr>
        <w:t>We will comply, and have been informed by the participating underwriters that they will comply, with the requirements of Rule 15c2-8 under the Securities Exchange Act of 1934, as amended, to the extent applicable.</w:t>
      </w:r>
    </w:p>
    <w:p>
      <w:pPr>
        <w:sectPr>
          <w:pgSz w:w="11900" w:h="16838" w:orient="portrait"/>
          <w:cols w:equalWidth="0" w:num="1">
            <w:col w:w="11360"/>
          </w:cols>
          <w:pgMar w:left="240" w:top="233" w:right="299" w:bottom="1440" w:gutter="0" w:footer="0" w:header="0"/>
          <w:type w:val="continuous"/>
        </w:sectPr>
      </w:pPr>
    </w:p>
    <w:bookmarkStart w:id="1" w:name="page2"/>
    <w:bookmarkEnd w:id="1"/>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48"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Ladenburg Thalmann &amp; Co. Inc.</w:t>
      </w:r>
    </w:p>
    <w:p>
      <w:pPr>
        <w:spacing w:after="0" w:line="243" w:lineRule="exact"/>
        <w:rPr>
          <w:sz w:val="20"/>
          <w:szCs w:val="20"/>
          <w:color w:val="auto"/>
        </w:rPr>
      </w:pPr>
    </w:p>
    <w:tbl>
      <w:tblPr>
        <w:tblLayout w:type="fixed"/>
        <w:tblInd w:w="6852"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J. Strupp,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David J. Strupp,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Michael Maline, Goodwin Procter LLP</w:t>
      </w:r>
    </w:p>
    <w:p>
      <w:pPr>
        <w:spacing w:after="0" w:line="23"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John W. Campbell III, Morrison &amp; Foerster LLP</w:t>
      </w:r>
    </w:p>
    <w:sectPr>
      <w:pgSz w:w="11900" w:h="16838" w:orient="portrait"/>
      <w:cols w:equalWidth="0" w:num="1">
        <w:col w:w="11412"/>
      </w:cols>
      <w:pgMar w:left="248"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2019-12-08T07:49:21Z</dcterms:created>
  <dcterms:modified xsi:type="dcterms:W3CDTF">2019-12-08T07:49:21Z</dcterms:modified>
</cp:coreProperties>
</file>